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B2" w:rsidRPr="007A0FB2" w:rsidRDefault="007A0FB2" w:rsidP="007A0FB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FB2">
        <w:rPr>
          <w:rFonts w:ascii="Times New Roman" w:hAnsi="Times New Roman" w:cs="Times New Roman"/>
          <w:b/>
          <w:bCs/>
          <w:sz w:val="24"/>
          <w:szCs w:val="24"/>
        </w:rPr>
        <w:t>АЛЕХОВЩИНСКОЕ  СЕЛЬСКОЕ  ПОСЕЛЕНИЕ</w:t>
      </w:r>
    </w:p>
    <w:p w:rsidR="007A0FB2" w:rsidRPr="007A0FB2" w:rsidRDefault="007A0FB2" w:rsidP="007A0FB2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FB2">
        <w:rPr>
          <w:rFonts w:ascii="Times New Roman" w:hAnsi="Times New Roman" w:cs="Times New Roman"/>
          <w:b/>
          <w:bCs/>
          <w:sz w:val="24"/>
          <w:szCs w:val="24"/>
        </w:rPr>
        <w:t>ЛОДЕЙНОПОЛЬСКОГО МУНИЦИПАЛЬНОГО РАЙОНА</w:t>
      </w:r>
    </w:p>
    <w:p w:rsidR="007A0FB2" w:rsidRPr="007A0FB2" w:rsidRDefault="007A0FB2" w:rsidP="007A0FB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FB2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A0FB2" w:rsidRPr="007A0FB2" w:rsidRDefault="007A0FB2" w:rsidP="007A0FB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FB2" w:rsidRPr="007A0FB2" w:rsidRDefault="007A0FB2" w:rsidP="007A0FB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FB2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A0FB2" w:rsidRPr="007A0FB2" w:rsidRDefault="007A0FB2" w:rsidP="007A0FB2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FB2">
        <w:rPr>
          <w:rFonts w:ascii="Times New Roman" w:hAnsi="Times New Roman" w:cs="Times New Roman"/>
          <w:bCs/>
          <w:sz w:val="24"/>
          <w:szCs w:val="24"/>
        </w:rPr>
        <w:t xml:space="preserve">(двадцать третье (очередное) заседание третьего созыва)     </w:t>
      </w:r>
    </w:p>
    <w:p w:rsidR="007A0FB2" w:rsidRPr="007A0FB2" w:rsidRDefault="007A0FB2" w:rsidP="007A0FB2">
      <w:pPr>
        <w:pStyle w:val="ab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A0FB2" w:rsidRPr="007A0FB2" w:rsidRDefault="007A0FB2" w:rsidP="007A0FB2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FB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16.12.2016г.        </w:t>
      </w:r>
      <w:r w:rsidR="007A0FB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91A34">
        <w:rPr>
          <w:rFonts w:ascii="Times New Roman" w:hAnsi="Times New Roman" w:cs="Times New Roman"/>
          <w:b/>
          <w:bCs/>
          <w:sz w:val="24"/>
          <w:szCs w:val="24"/>
        </w:rPr>
        <w:t>106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на 2017 год 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24 Устава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 решил: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1.Утвердить основные характеристики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 2017год:</w:t>
      </w:r>
    </w:p>
    <w:p w:rsidR="008820DD" w:rsidRDefault="008820DD" w:rsidP="008820D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прогнозируемый общий объем доходов   39372,8 тысяч рублей;</w:t>
      </w:r>
    </w:p>
    <w:p w:rsidR="008820DD" w:rsidRDefault="008820DD" w:rsidP="008820D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-общий объем расходов   39814,3тысяч рублей;</w:t>
      </w:r>
    </w:p>
    <w:p w:rsidR="008820DD" w:rsidRDefault="008820DD" w:rsidP="008820D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-прогнозируемый дефицит   441,5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2.Утвердить источники внутреннего финансирования дефицита 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2017 год согласно приложению №1.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3.Утвердить в пределах общего объема доходов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утвержденного </w:t>
      </w:r>
      <w:hyperlink r:id="rId5" w:anchor="sub_1#sub_1" w:history="1">
        <w:r>
          <w:rPr>
            <w:rStyle w:val="a3"/>
            <w:sz w:val="24"/>
            <w:szCs w:val="24"/>
          </w:rPr>
          <w:t xml:space="preserve"> 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решения, прогнозируемые поступления доходов на 2017год согласно приложению №2.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4.Утвердить перечень главных администраторов доходов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2017год согласно приложению №3.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5.Утвердить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2017 год согласно приложению №4. </w:t>
      </w:r>
    </w:p>
    <w:p w:rsidR="008820DD" w:rsidRDefault="008820DD" w:rsidP="008820DD">
      <w:p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6.Утвердить в пределах общего объема расходов, утвержденного пунктом 1 настоящего решения:</w:t>
      </w:r>
    </w:p>
    <w:p w:rsidR="008820DD" w:rsidRDefault="008820DD" w:rsidP="008820DD">
      <w:p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бюджета на 2017год согласно приложению  № 5.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распределение бюджетных ассигнований по разделам и подразделам,  функциональной классификации расходов бюджета на 2017 год» согласно приложению  № 6</w:t>
      </w:r>
    </w:p>
    <w:p w:rsidR="008820DD" w:rsidRDefault="008820DD" w:rsidP="008820DD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7.Утвердить ведомственную структуру расходов 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2017 год согласно приложению №7.</w:t>
      </w:r>
    </w:p>
    <w:p w:rsidR="008820DD" w:rsidRDefault="008820DD" w:rsidP="008820DD">
      <w:pPr>
        <w:tabs>
          <w:tab w:val="left" w:pos="9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8.Утвердить резервный фонд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2017год в сумме 15,0 тысяч рублей;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9.Установить, что в соответствии с правовыми актами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производится распределение (предоставление, расходование) ассигнований, предусмотренных в ведомственной структуре расходов местного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-резервный фонд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области: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муниципального образования за календарный месяц или за выполнение установленной нормы труда (нормы часов педагогической работы за ставку заработной платы), с 1 января 2017 года применяется расчетная величина в размере 8350 рублей, с 1 апреля 2017 года – в размере 8500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и с 1 сентября 2017 года – в размере 8830,0 рублей.</w:t>
      </w:r>
    </w:p>
    <w:p w:rsidR="008820DD" w:rsidRDefault="008820DD" w:rsidP="008820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10.2. Утвердить размер индексации ежемесячного денежного вознаграждения лиц, замещающих муниципальные должности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окладов месячных денежных содержаний муниципальных служащих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в 1,06 раза с 1 января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11.Утвердить на 2017 год Порядок предоставления субсидий в целях возмещения затрат или недополученных доходов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820DD" w:rsidRDefault="008820DD" w:rsidP="008820DD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поддержку коммунального хозяйства в связи с оказанием услуг по  организации работы бани, услуг по организации помывки населения согласно приложению № 8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12.Утвердить верхний предел муниципального долга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течение 2017 года    3565,4  тыс. руб. и на 1 января 2018 года в размере  2940,6 тыс. руб.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Утвердить Программу муниципальных  заимствований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2017 год  согласно  приложению № 9.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Установить предельный объем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2017 год в сумме 24,5 тыс. руб.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Предоставить право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осуществлять  в 2017 году заимствование  в соответствии с Программой заимствований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на 2017 год с учётом предельной величины муниципального долга.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Установить, что привлекаемые в 2017 году заёмные средства направляются на покрытие дефицита бюджета поселения и погашение долга.</w:t>
      </w:r>
    </w:p>
    <w:p w:rsidR="008820DD" w:rsidRDefault="008820DD" w:rsidP="008820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13.Установить, что  заключение и оплата муниципальными учреждениями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договоров, исполнение которых осуществляется за счёт  средств бюджета поселения на 2017 год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учётом принятых и неисполненных обязательств.</w:t>
      </w:r>
      <w:proofErr w:type="gramEnd"/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Вытекающие из договоров, исполнение которых осуществляется за счёт средств поселения, обязательства, принятые учреждениями   поселения сверх утверждённых им лимитов бюджетных обязательств не подлежат оплате за счёт средств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  на 2017 год.</w:t>
      </w:r>
    </w:p>
    <w:p w:rsidR="008820DD" w:rsidRDefault="008820DD" w:rsidP="008820DD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 отражаются в составе ведомственной структуры расходов местного бюджета по непрограммным расходам по соответствующим кодам бюджетной классификации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14.1.Утвердить адресную инвестиционную программу на 2017 год согласно приложению №10.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15.Утвердить перечень главных распорядителей средств бюджета  на 2017 год согласно приложению №11.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16. Утвердить общий объем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сумме </w:t>
      </w:r>
      <w:r>
        <w:rPr>
          <w:rFonts w:ascii="Times New Roman" w:hAnsi="Times New Roman" w:cs="Times New Roman"/>
          <w:b/>
          <w:sz w:val="24"/>
          <w:szCs w:val="24"/>
        </w:rPr>
        <w:t>9045,7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0DD" w:rsidRDefault="008820DD" w:rsidP="008820DD">
      <w:pPr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Утвердить формы и объём межбюджетных трансфертов бюджету муниципального района Ленинградской области на  2017 год: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части полномочий контрольно-счетной комиссии  поселения по осуществлению внешнего муниципального финансового контроля  согласно приложению № 12 в соответствии с Порядком согласно приложению № 13.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осуществление части полномочий по формированию, исполнению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согласно приложению № 14 в соответствии с Порядком согласно приложению № 15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части полномочий в сфере комплектования книжных фондов библиотек  согласно приложению № 16 в соответствии с Порядком согласно приложению № 17.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 муниципальные должности согласно приложению № 19 соответствии с Порядком согласно приложению № 19.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части полномочий  по  муниципальному земельному контролю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№ 20 в  соответствии с Порядком, согласно приложению № 21.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18.Установить,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Ленинградской области на 2017 год вносятся по следующим основаниям, связанным с особенностями исполнения местного бюджета, без внесения изменений в настоящее решение:</w:t>
      </w:r>
      <w:proofErr w:type="gramEnd"/>
    </w:p>
    <w:p w:rsidR="008820DD" w:rsidRDefault="008820DD" w:rsidP="0088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образования, переименования, реорганизации, ликвидации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Ленинградской области, перераспределения их полномочий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пределах общего объема средств, предусмотренных настоящим решением на обеспечение их деятельности;</w:t>
      </w:r>
    </w:p>
    <w:p w:rsidR="008820DD" w:rsidRDefault="008820DD" w:rsidP="008820D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8820DD" w:rsidRDefault="008820DD" w:rsidP="008820DD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установленных для получения субсидий, предоставляемых местному бюджету из федерального и областного бюджета,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  <w:proofErr w:type="gramEnd"/>
    </w:p>
    <w:p w:rsidR="008820DD" w:rsidRDefault="008820DD" w:rsidP="008820DD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перераспределения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8820DD" w:rsidRDefault="008820DD" w:rsidP="0088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случаях распределения средств целевых межбюджетных трансфертов (и их остатков) из федерального бюджета, областного бюджета, бюджетов государственных внебюджетных фондов и государственных корпораций (сверх утвержденных решением о бюджете доходов) на осуществление отдельных целевых расходов на основании федеральных законов и (или) нормативных правовых актов Правительства Российской Федерации, Правительства Ленинградской области, а также заключенных соглашений;</w:t>
      </w:r>
      <w:proofErr w:type="gramEnd"/>
    </w:p>
    <w:p w:rsidR="008820DD" w:rsidRDefault="008820DD" w:rsidP="008820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перераспределения бюджетных ассигнований между главными распорядителями бюджетных средств,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 для финансирования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после внесения изменений в указанные программы;</w:t>
      </w:r>
    </w:p>
    <w:p w:rsidR="008820DD" w:rsidRDefault="008820DD" w:rsidP="008820D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19. В случае принятия федеральных законов, областных законов или других нормативных актов Российской Федерации и Ленинградской области, влекущих дополнительные расходы за счёт средств бюджета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области, в настоящее решение вносятся соответствующие изменения и дополнения.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Нормативные правовые акты органов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области, реализация которых ведёт к финансированию новых расходов местного бюджета или увеличению финансирования существующих видов  расходов местного бюджета, исполняются только при наличии соответствующих  источников дополнительных поступлений в местный бюджет и (или) при сокращении  расходов по конкретным статьям местного бюджета на 2017 год после внесения соответствующих изменений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20. Установить, что исполнение бюджета  по казначейской  системе осуществляется  Комитетом финансов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 Ленинградской области с использованием лицевых счетов, открытых  в Отделе №10 УФК по Ленинградской области, осуществляющем кассовое  обслуживание  исполнения бюджета  и в соответствии  с законодательством Российской  Федерации  и законодательством Ленинградской области.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21. Настоящее решение вступает в силу с 1 января 2017 года.                                                                                                                                                                                     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22. Данное решение обнародовать в средствах массовой информации и разместить на официальном сайте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0DD" w:rsidRDefault="008820DD" w:rsidP="000A4A27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8820DD" w:rsidRPr="000A4A27" w:rsidRDefault="000A4A27" w:rsidP="000A4A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4A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A4A27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</w:p>
    <w:p w:rsidR="000A4A27" w:rsidRDefault="000A4A27" w:rsidP="000A4A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4A2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4A27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0A4A27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</w:p>
    <w:p w:rsidR="000A4A27" w:rsidRPr="000A4A27" w:rsidRDefault="000A4A27" w:rsidP="000A4A2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EB69A4" w:rsidRDefault="00EB69A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491A34" w:rsidRDefault="00491A34" w:rsidP="008820DD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8820DD" w:rsidTr="008820DD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8820DD" w:rsidTr="008820DD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от </w:t>
            </w:r>
            <w:r w:rsidR="00EB6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 г. №</w:t>
            </w:r>
            <w:r w:rsidR="00491A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(Приложение № 1)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ВНУТРЕННЕГО ФИНАНСИРОВАНИЯ  ДЕФИЦИТА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АЛЕХОВЩИНСКОГО СЕЛЬСКОГО ПОСЕЛЕНИЯ 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 ОБЛАСТИ  на  2017  год.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955"/>
        <w:gridCol w:w="1472"/>
      </w:tblGrid>
      <w:tr w:rsidR="008820DD" w:rsidTr="008820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                                                                                (тыс.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5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01020000000000000  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                                             в валюте Российской Федерации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1066,3</w:t>
            </w:r>
          </w:p>
        </w:tc>
      </w:tr>
      <w:tr w:rsidR="008820DD" w:rsidTr="008820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01020000100000000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Кредиты, полученные в валюте     Российской Федерации от кредитных организаций бюджетами поселений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1066,3</w:t>
            </w:r>
          </w:p>
        </w:tc>
      </w:tr>
      <w:tr w:rsidR="008820DD" w:rsidTr="008820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01030000000000000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-624,8</w:t>
            </w:r>
          </w:p>
        </w:tc>
      </w:tr>
      <w:tr w:rsidR="008820DD" w:rsidTr="008820D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01030000100000000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-624,8</w:t>
            </w:r>
          </w:p>
        </w:tc>
      </w:tr>
      <w:tr w:rsidR="008820DD" w:rsidTr="008820D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ИСТОЧНИКОВ ВНУТРЕННЕГО  ФИНАНСИРОВАНИЯ       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441,5</w:t>
            </w:r>
          </w:p>
        </w:tc>
      </w:tr>
    </w:tbl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EB69A4">
      <w:pPr>
        <w:ind w:left="7440"/>
        <w:rPr>
          <w:rFonts w:ascii="Times New Roman" w:hAnsi="Times New Roman" w:cs="Times New Roman"/>
          <w:sz w:val="24"/>
          <w:szCs w:val="24"/>
        </w:rPr>
      </w:pPr>
    </w:p>
    <w:tbl>
      <w:tblPr>
        <w:tblW w:w="9312" w:type="dxa"/>
        <w:tblLook w:val="00A0" w:firstRow="1" w:lastRow="0" w:firstColumn="1" w:lastColumn="0" w:noHBand="0" w:noVBand="0"/>
      </w:tblPr>
      <w:tblGrid>
        <w:gridCol w:w="2376"/>
        <w:gridCol w:w="5152"/>
        <w:gridCol w:w="1784"/>
      </w:tblGrid>
      <w:tr w:rsidR="008820DD" w:rsidTr="008820DD">
        <w:trPr>
          <w:trHeight w:val="315"/>
        </w:trPr>
        <w:tc>
          <w:tcPr>
            <w:tcW w:w="2376" w:type="dxa"/>
            <w:noWrap/>
            <w:vAlign w:val="bottom"/>
          </w:tcPr>
          <w:p w:rsidR="008820DD" w:rsidRDefault="008820DD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36" w:type="dxa"/>
            <w:gridSpan w:val="2"/>
            <w:vMerge w:val="restart"/>
            <w:noWrap/>
            <w:vAlign w:val="bottom"/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</w:t>
            </w:r>
          </w:p>
          <w:p w:rsidR="008820DD" w:rsidRDefault="008820D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8820DD" w:rsidRDefault="008820D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820DD" w:rsidRDefault="008820D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8820DD" w:rsidRDefault="008820D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  <w:p w:rsidR="008820DD" w:rsidRDefault="008820D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от    16.12.2016 года №</w:t>
            </w:r>
            <w:r w:rsidR="003246C4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0DD" w:rsidRDefault="008820D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Приложение  2</w:t>
            </w:r>
          </w:p>
        </w:tc>
      </w:tr>
      <w:tr w:rsidR="008820DD" w:rsidTr="008820DD">
        <w:trPr>
          <w:trHeight w:val="315"/>
        </w:trPr>
        <w:tc>
          <w:tcPr>
            <w:tcW w:w="2376" w:type="dxa"/>
            <w:noWrap/>
            <w:vAlign w:val="bottom"/>
          </w:tcPr>
          <w:p w:rsidR="008820DD" w:rsidRDefault="008820DD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315"/>
        </w:trPr>
        <w:tc>
          <w:tcPr>
            <w:tcW w:w="2376" w:type="dxa"/>
            <w:noWrap/>
            <w:vAlign w:val="bottom"/>
          </w:tcPr>
          <w:p w:rsidR="008820DD" w:rsidRDefault="008820DD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315"/>
        </w:trPr>
        <w:tc>
          <w:tcPr>
            <w:tcW w:w="2376" w:type="dxa"/>
            <w:noWrap/>
            <w:vAlign w:val="bottom"/>
          </w:tcPr>
          <w:p w:rsidR="008820DD" w:rsidRDefault="008820DD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315"/>
        </w:trPr>
        <w:tc>
          <w:tcPr>
            <w:tcW w:w="2376" w:type="dxa"/>
            <w:noWrap/>
            <w:vAlign w:val="bottom"/>
          </w:tcPr>
          <w:p w:rsidR="008820DD" w:rsidRDefault="008820DD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315"/>
        </w:trPr>
        <w:tc>
          <w:tcPr>
            <w:tcW w:w="2376" w:type="dxa"/>
            <w:noWrap/>
            <w:vAlign w:val="bottom"/>
          </w:tcPr>
          <w:p w:rsidR="008820DD" w:rsidRDefault="008820DD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315"/>
        </w:trPr>
        <w:tc>
          <w:tcPr>
            <w:tcW w:w="2376" w:type="dxa"/>
            <w:noWrap/>
            <w:vAlign w:val="bottom"/>
          </w:tcPr>
          <w:p w:rsidR="008820DD" w:rsidRDefault="008820DD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5152" w:type="dxa"/>
            <w:noWrap/>
            <w:vAlign w:val="bottom"/>
          </w:tcPr>
          <w:p w:rsidR="008820DD" w:rsidRDefault="008820DD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784" w:type="dxa"/>
            <w:noWrap/>
            <w:vAlign w:val="bottom"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315"/>
        </w:trPr>
        <w:tc>
          <w:tcPr>
            <w:tcW w:w="9312" w:type="dxa"/>
            <w:gridSpan w:val="3"/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Arial CYR" w:hAnsi="Arial CYR" w:cs="Arial CY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доходов на 2017 год</w:t>
            </w:r>
          </w:p>
        </w:tc>
      </w:tr>
      <w:tr w:rsidR="008820DD" w:rsidTr="008820DD">
        <w:trPr>
          <w:trHeight w:val="315"/>
        </w:trPr>
        <w:tc>
          <w:tcPr>
            <w:tcW w:w="9312" w:type="dxa"/>
            <w:gridSpan w:val="3"/>
            <w:noWrap/>
            <w:vAlign w:val="bottom"/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8820DD" w:rsidTr="008820DD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820DD" w:rsidTr="008820D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10662,7</w:t>
            </w:r>
          </w:p>
        </w:tc>
      </w:tr>
      <w:tr w:rsidR="008820DD" w:rsidTr="008820D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1450,0</w:t>
            </w:r>
          </w:p>
        </w:tc>
      </w:tr>
      <w:tr w:rsidR="008820DD" w:rsidTr="008820D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</w:tr>
      <w:tr w:rsidR="008820DD" w:rsidTr="008820DD">
        <w:trPr>
          <w:trHeight w:val="9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5822,7</w:t>
            </w:r>
          </w:p>
        </w:tc>
      </w:tr>
      <w:tr w:rsidR="008820DD" w:rsidTr="008820DD">
        <w:trPr>
          <w:trHeight w:val="7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5822,7</w:t>
            </w:r>
          </w:p>
        </w:tc>
      </w:tr>
      <w:tr w:rsidR="008820DD" w:rsidTr="008820D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2020,0</w:t>
            </w:r>
          </w:p>
        </w:tc>
      </w:tr>
      <w:tr w:rsidR="008820DD" w:rsidTr="008820DD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8820DD" w:rsidTr="008820D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1830,0</w:t>
            </w:r>
          </w:p>
        </w:tc>
      </w:tr>
      <w:tr w:rsidR="008820DD" w:rsidTr="008820D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820DD" w:rsidTr="008820DD">
        <w:trPr>
          <w:trHeight w:val="11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630,0</w:t>
            </w:r>
          </w:p>
        </w:tc>
      </w:tr>
      <w:tr w:rsidR="008820DD" w:rsidTr="008820DD">
        <w:trPr>
          <w:trHeight w:val="10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11105070000000120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8820DD" w:rsidTr="008820DD">
        <w:trPr>
          <w:trHeight w:val="18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111090400000000120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8820DD" w:rsidTr="008820DD">
        <w:trPr>
          <w:trHeight w:val="8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8820DD" w:rsidTr="008820DD">
        <w:trPr>
          <w:trHeight w:val="27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8820DD" w:rsidTr="008820DD">
        <w:trPr>
          <w:trHeight w:val="2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820DD" w:rsidTr="008820DD">
        <w:trPr>
          <w:trHeight w:val="19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11402000000000000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820DD" w:rsidTr="008820D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28710,1</w:t>
            </w:r>
          </w:p>
        </w:tc>
      </w:tr>
      <w:tr w:rsidR="008820DD" w:rsidTr="008820DD">
        <w:trPr>
          <w:trHeight w:val="6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28710,1</w:t>
            </w:r>
          </w:p>
        </w:tc>
      </w:tr>
      <w:tr w:rsidR="008820DD" w:rsidTr="008820DD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20210000000000151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17922,5</w:t>
            </w:r>
          </w:p>
        </w:tc>
      </w:tr>
      <w:tr w:rsidR="008820DD" w:rsidTr="008820DD">
        <w:trPr>
          <w:trHeight w:val="55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20215001100000151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17922,5</w:t>
            </w:r>
          </w:p>
        </w:tc>
      </w:tr>
      <w:tr w:rsidR="008820DD" w:rsidTr="008820DD">
        <w:trPr>
          <w:trHeight w:val="84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20220000000000151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7492,9</w:t>
            </w:r>
          </w:p>
        </w:tc>
      </w:tr>
      <w:tr w:rsidR="008820DD" w:rsidTr="008820DD">
        <w:trPr>
          <w:trHeight w:val="22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20220216100000151</w:t>
            </w:r>
          </w:p>
        </w:tc>
        <w:tc>
          <w:tcPr>
            <w:tcW w:w="5152" w:type="dxa"/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8820DD" w:rsidTr="008820DD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20229999100001151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6352,9</w:t>
            </w:r>
          </w:p>
        </w:tc>
      </w:tr>
      <w:tr w:rsidR="008820DD" w:rsidTr="008820DD">
        <w:trPr>
          <w:trHeight w:val="6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744,7</w:t>
            </w:r>
          </w:p>
        </w:tc>
      </w:tr>
      <w:tr w:rsidR="008820DD" w:rsidTr="008820DD">
        <w:trPr>
          <w:trHeight w:val="9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20235118100000151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1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20230024100000151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8820DD" w:rsidTr="008820DD">
        <w:trPr>
          <w:trHeight w:val="2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2 550,0</w:t>
            </w:r>
          </w:p>
        </w:tc>
      </w:tr>
      <w:tr w:rsidR="008820DD" w:rsidTr="008820DD">
        <w:trPr>
          <w:trHeight w:val="12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20245160100000151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2 550,0</w:t>
            </w:r>
          </w:p>
        </w:tc>
      </w:tr>
      <w:tr w:rsidR="008820DD" w:rsidTr="008820DD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39372,8</w:t>
            </w:r>
          </w:p>
        </w:tc>
      </w:tr>
    </w:tbl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Ind w:w="93" w:type="dxa"/>
        <w:tblLook w:val="04A0" w:firstRow="1" w:lastRow="0" w:firstColumn="1" w:lastColumn="0" w:noHBand="0" w:noVBand="1"/>
      </w:tblPr>
      <w:tblGrid>
        <w:gridCol w:w="236"/>
        <w:gridCol w:w="236"/>
        <w:gridCol w:w="9494"/>
      </w:tblGrid>
      <w:tr w:rsidR="008820DD" w:rsidTr="008820DD">
        <w:trPr>
          <w:trHeight w:val="315"/>
        </w:trPr>
        <w:tc>
          <w:tcPr>
            <w:tcW w:w="9966" w:type="dxa"/>
            <w:gridSpan w:val="3"/>
            <w:noWrap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УТВЕРЖДЕНО</w:t>
            </w:r>
          </w:p>
        </w:tc>
      </w:tr>
      <w:tr w:rsidR="008820DD" w:rsidTr="008820DD">
        <w:trPr>
          <w:trHeight w:val="315"/>
        </w:trPr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noWrap/>
            <w:hideMark/>
          </w:tcPr>
          <w:p w:rsidR="008820DD" w:rsidRDefault="00882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Решением совета депутатов</w:t>
            </w:r>
          </w:p>
        </w:tc>
      </w:tr>
      <w:tr w:rsidR="008820DD" w:rsidTr="008820DD">
        <w:trPr>
          <w:trHeight w:val="315"/>
        </w:trPr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noWrap/>
            <w:hideMark/>
          </w:tcPr>
          <w:p w:rsidR="008820DD" w:rsidRDefault="00882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20DD" w:rsidTr="008820DD">
        <w:trPr>
          <w:trHeight w:val="315"/>
        </w:trPr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noWrap/>
            <w:hideMark/>
          </w:tcPr>
          <w:p w:rsidR="008820DD" w:rsidRDefault="00882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820DD" w:rsidTr="008820DD">
        <w:trPr>
          <w:trHeight w:val="315"/>
        </w:trPr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noWrap/>
            <w:hideMark/>
          </w:tcPr>
          <w:p w:rsidR="008820DD" w:rsidRDefault="00882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8820DD" w:rsidTr="008820DD">
        <w:trPr>
          <w:trHeight w:val="315"/>
        </w:trPr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noWrap/>
            <w:hideMark/>
          </w:tcPr>
          <w:p w:rsidR="008820DD" w:rsidRDefault="00882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от   </w:t>
            </w:r>
            <w:r w:rsidR="009303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.12.2016 года № </w:t>
            </w:r>
            <w:r w:rsidR="003246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820DD" w:rsidTr="008820DD">
        <w:trPr>
          <w:trHeight w:val="315"/>
        </w:trPr>
        <w:tc>
          <w:tcPr>
            <w:tcW w:w="236" w:type="dxa"/>
            <w:noWrap/>
            <w:vAlign w:val="bottom"/>
          </w:tcPr>
          <w:p w:rsidR="008820DD" w:rsidRDefault="00882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4" w:type="dxa"/>
            <w:noWrap/>
            <w:hideMark/>
          </w:tcPr>
          <w:p w:rsidR="008820DD" w:rsidRDefault="00882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(Приложение № 3)</w:t>
            </w:r>
          </w:p>
        </w:tc>
      </w:tr>
    </w:tbl>
    <w:p w:rsidR="008820DD" w:rsidRDefault="008820DD" w:rsidP="008820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6325"/>
      </w:tblGrid>
      <w:tr w:rsidR="008820DD" w:rsidTr="008820DD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20DD" w:rsidTr="008820DD">
        <w:trPr>
          <w:trHeight w:val="136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1 13 01995 10 0111 130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1 14 06325 10 0000 430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1 16 46000 10 0000 140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1 17 05050 10 0111 180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2 02 20041 10 0000 151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2 02 20051 10 0000 151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2 02 20079 10 0000 151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переселение граждан из жилищного фонда, признанного непригодным для проживания, и (или) жилищного фонда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высоким уровнем износа (более 70 процентов)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2 02 20298 10 0000 151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2 02 20301 10 0000 151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2 02 20303 10 0000 151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2 02 39999 10 0000 151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spacing w:before="24" w:after="24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2 19 45160 10 0000 151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820DD" w:rsidTr="008820D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2 19 60010 10 0000 151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0376E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18" w:type="dxa"/>
        <w:tblLook w:val="04A0" w:firstRow="1" w:lastRow="0" w:firstColumn="1" w:lastColumn="0" w:noHBand="0" w:noVBand="1"/>
      </w:tblPr>
      <w:tblGrid>
        <w:gridCol w:w="9518"/>
      </w:tblGrid>
      <w:tr w:rsidR="008820DD" w:rsidTr="008820DD">
        <w:trPr>
          <w:trHeight w:val="300"/>
        </w:trPr>
        <w:tc>
          <w:tcPr>
            <w:tcW w:w="9518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8820DD" w:rsidTr="008820DD">
        <w:trPr>
          <w:trHeight w:val="315"/>
        </w:trPr>
        <w:tc>
          <w:tcPr>
            <w:tcW w:w="9518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8820DD" w:rsidTr="008820DD">
        <w:trPr>
          <w:trHeight w:val="315"/>
        </w:trPr>
        <w:tc>
          <w:tcPr>
            <w:tcW w:w="9518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8820DD" w:rsidTr="008820DD">
        <w:trPr>
          <w:trHeight w:val="315"/>
        </w:trPr>
        <w:tc>
          <w:tcPr>
            <w:tcW w:w="9518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8820DD" w:rsidTr="008820DD">
        <w:trPr>
          <w:trHeight w:val="315"/>
        </w:trPr>
        <w:tc>
          <w:tcPr>
            <w:tcW w:w="9518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8820DD" w:rsidTr="008820DD">
        <w:trPr>
          <w:trHeight w:val="315"/>
        </w:trPr>
        <w:tc>
          <w:tcPr>
            <w:tcW w:w="9518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  </w:t>
            </w:r>
            <w:r w:rsidR="00EA403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.12.2016 года №</w:t>
            </w:r>
            <w:r w:rsidR="000376ED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0DD" w:rsidTr="008820DD">
        <w:trPr>
          <w:trHeight w:val="315"/>
        </w:trPr>
        <w:tc>
          <w:tcPr>
            <w:tcW w:w="9518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Приложение№4</w:t>
            </w:r>
          </w:p>
        </w:tc>
      </w:tr>
      <w:tr w:rsidR="008820DD" w:rsidTr="008820DD">
        <w:trPr>
          <w:trHeight w:val="315"/>
        </w:trPr>
        <w:tc>
          <w:tcPr>
            <w:tcW w:w="9518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Перечень главных администраторов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источников внутреннего финансирования дефицита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2017 год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00"/>
        <w:gridCol w:w="4455"/>
      </w:tblGrid>
      <w:tr w:rsidR="008820DD" w:rsidTr="008820DD"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 Федерации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источников внутреннего финансирования  бюджета поселения</w:t>
            </w:r>
            <w:proofErr w:type="gramEnd"/>
          </w:p>
        </w:tc>
      </w:tr>
      <w:tr w:rsidR="008820DD" w:rsidTr="008820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DD" w:rsidTr="008820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</w:tr>
      <w:tr w:rsidR="008820DD" w:rsidTr="008820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01020000000000000   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                                             в валюте Российской Федерации</w:t>
            </w:r>
          </w:p>
        </w:tc>
      </w:tr>
      <w:tr w:rsidR="008820DD" w:rsidTr="008820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01030000000000000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820DD" w:rsidTr="008820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 средств на счетах по  учету средств бюджета                  </w:t>
            </w:r>
          </w:p>
        </w:tc>
      </w:tr>
    </w:tbl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Ind w:w="88" w:type="dxa"/>
        <w:tblLook w:val="04A0" w:firstRow="1" w:lastRow="0" w:firstColumn="1" w:lastColumn="0" w:noHBand="0" w:noVBand="1"/>
      </w:tblPr>
      <w:tblGrid>
        <w:gridCol w:w="10016"/>
      </w:tblGrid>
      <w:tr w:rsidR="008820DD" w:rsidTr="008820DD">
        <w:trPr>
          <w:trHeight w:val="300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EC4D0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820D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="00882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.12.2016 года №</w:t>
            </w:r>
            <w:r w:rsidR="00050140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 целевым статьям,  муниципальным программам и непрограммным направлениям деятельности, группам и подгруппам видов расходов классификации расходов бюджета, также по разделам и подразделам  классификации расходов бюджета на 2017 год</w:t>
      </w:r>
    </w:p>
    <w:p w:rsidR="008820DD" w:rsidRDefault="008820DD" w:rsidP="008820DD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4" w:tblpY="1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1800"/>
        <w:gridCol w:w="1296"/>
        <w:gridCol w:w="1416"/>
        <w:gridCol w:w="1349"/>
      </w:tblGrid>
      <w:tr w:rsidR="008820DD" w:rsidTr="008820DD">
        <w:trPr>
          <w:trHeight w:val="27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69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39814,3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“Реализация проектов местных инициатив граждан, представленных старостами сельских населенных пунктов”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иных форм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374,9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589,0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3110200000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365,9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365,9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6920,6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“Капитальный ремонт и ремонт автомобильных дорог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3220170140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3220170140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3220170140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400,6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“Содержание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дорого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400,6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400,6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400,6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400,6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“Обеспечение функционирования и развития системы газоснабжения”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обслуживание и ремонт газопроводов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19000,2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«Обеспечение доступа жителей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19000,2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“Развитие и модернизация библиотек, досуговых учреждений культуры”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19000,2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(услуги, работы) 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14640,9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11197,3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3436,6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3436,6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расходы на обеспечение деятельности  муниципальных казённых учреждений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1899,3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1899,3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комплектованию книжных фондов библиотек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0360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591,9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372,5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"Переселение граждан из аварийного жилищного фонда"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372,5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372,5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372,5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372,5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12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2792,2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2792,2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2792,2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8820DD" w:rsidTr="008820DD">
        <w:trPr>
          <w:trHeight w:val="69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8820DD" w:rsidTr="008820DD">
        <w:trPr>
          <w:trHeight w:val="43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8820DD" w:rsidTr="008820DD">
        <w:trPr>
          <w:trHeight w:val="69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20DD" w:rsidTr="008820DD">
        <w:trPr>
          <w:trHeight w:val="9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6990110150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8820DD" w:rsidTr="008820DD">
        <w:trPr>
          <w:trHeight w:val="69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организация сбора и вывоза бытовых отходов и мусора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133,1</w:t>
            </w:r>
          </w:p>
        </w:tc>
      </w:tr>
      <w:tr w:rsidR="008820DD" w:rsidTr="008820D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8820DD" w:rsidTr="008820DD">
        <w:trPr>
          <w:trHeight w:val="9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56,0</w:t>
            </w:r>
          </w:p>
        </w:tc>
      </w:tr>
      <w:tr w:rsidR="008820DD" w:rsidTr="008820D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6,0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вознаграждений старостам сельских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104,2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104,2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315,0</w:t>
            </w:r>
          </w:p>
        </w:tc>
      </w:tr>
      <w:tr w:rsidR="008820DD" w:rsidTr="008820DD">
        <w:trPr>
          <w:trHeight w:val="9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 пожарной безопасности   в границах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0DD" w:rsidTr="008820D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0DD" w:rsidTr="008820DD">
        <w:trPr>
          <w:trHeight w:val="6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0DD" w:rsidTr="008820DD">
        <w:trPr>
          <w:trHeight w:val="9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6991011790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по распоряжению главы 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распоряжению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6990112320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6990112320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6990112320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20DD" w:rsidTr="008820DD">
        <w:trPr>
          <w:trHeight w:val="41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1107,1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8820DD" w:rsidTr="008820DD">
        <w:trPr>
          <w:trHeight w:val="43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6129,1</w:t>
            </w:r>
          </w:p>
        </w:tc>
      </w:tr>
      <w:tr w:rsidR="008820DD" w:rsidTr="008820DD">
        <w:trPr>
          <w:trHeight w:val="43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8820DD" w:rsidTr="008820DD">
        <w:trPr>
          <w:trHeight w:val="43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8820DD" w:rsidTr="008820DD">
        <w:trPr>
          <w:trHeight w:val="6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773,8</w:t>
            </w:r>
          </w:p>
        </w:tc>
      </w:tr>
      <w:tr w:rsidR="008820DD" w:rsidTr="008820D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8820DD" w:rsidTr="008820DD">
        <w:trPr>
          <w:trHeight w:val="9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8030000000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5355,3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5355,3</w:t>
            </w:r>
          </w:p>
        </w:tc>
      </w:tr>
      <w:tr w:rsidR="008820DD" w:rsidTr="008820DD">
        <w:trPr>
          <w:trHeight w:val="69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4561,5</w:t>
            </w:r>
          </w:p>
        </w:tc>
      </w:tr>
      <w:tr w:rsidR="008820DD" w:rsidTr="008820D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3361,5</w:t>
            </w:r>
          </w:p>
        </w:tc>
      </w:tr>
      <w:tr w:rsidR="008820DD" w:rsidTr="008820DD">
        <w:trPr>
          <w:trHeight w:val="41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3361,5</w:t>
            </w:r>
          </w:p>
        </w:tc>
      </w:tr>
      <w:tr w:rsidR="008820DD" w:rsidTr="008820D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</w:t>
            </w:r>
          </w:p>
        </w:tc>
      </w:tr>
      <w:tr w:rsidR="008820DD" w:rsidTr="008820DD">
        <w:trPr>
          <w:trHeight w:val="9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8820DD" w:rsidTr="008820DD">
        <w:trPr>
          <w:trHeight w:val="9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8820DD" w:rsidTr="008820DD">
        <w:trPr>
          <w:trHeight w:val="17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0DD" w:rsidTr="008820DD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0DD" w:rsidTr="008820DD">
        <w:trPr>
          <w:trHeight w:val="8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0DD" w:rsidTr="008820DD">
        <w:trPr>
          <w:trHeight w:val="8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275,8</w:t>
            </w:r>
          </w:p>
        </w:tc>
      </w:tr>
      <w:tr w:rsidR="008820DD" w:rsidTr="008820DD">
        <w:trPr>
          <w:trHeight w:val="8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275,8</w:t>
            </w:r>
          </w:p>
        </w:tc>
      </w:tr>
      <w:tr w:rsidR="008820DD" w:rsidTr="008820DD">
        <w:trPr>
          <w:trHeight w:val="8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275,8</w:t>
            </w:r>
          </w:p>
        </w:tc>
      </w:tr>
      <w:tr w:rsidR="008820DD" w:rsidTr="008820DD">
        <w:trPr>
          <w:trHeight w:val="8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муниципальному земельному контролю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820DD" w:rsidTr="008820DD">
        <w:trPr>
          <w:trHeight w:val="8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820DD" w:rsidTr="008820DD">
        <w:trPr>
          <w:trHeight w:val="8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8820DD" w:rsidTr="008820DD">
        <w:trPr>
          <w:trHeight w:val="276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820DD" w:rsidTr="008820D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0DD" w:rsidTr="008820D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8820DD" w:rsidTr="008820DD">
        <w:trPr>
          <w:trHeight w:val="9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8820DD" w:rsidTr="008820DD">
        <w:trPr>
          <w:trHeight w:val="46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820DD" w:rsidTr="008820DD">
        <w:trPr>
          <w:trHeight w:val="9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8820DD" w:rsidRDefault="008820DD" w:rsidP="008820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8820DD" w:rsidRDefault="008820DD" w:rsidP="008820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B630B">
        <w:rPr>
          <w:rFonts w:ascii="Times New Roman" w:hAnsi="Times New Roman" w:cs="Times New Roman"/>
          <w:bCs/>
          <w:sz w:val="24"/>
          <w:szCs w:val="24"/>
        </w:rPr>
        <w:t>16</w:t>
      </w:r>
      <w:r w:rsidR="00050140">
        <w:rPr>
          <w:rFonts w:ascii="Times New Roman" w:hAnsi="Times New Roman" w:cs="Times New Roman"/>
          <w:bCs/>
          <w:sz w:val="24"/>
          <w:szCs w:val="24"/>
        </w:rPr>
        <w:t>.12.2016г. №106</w:t>
      </w:r>
    </w:p>
    <w:p w:rsidR="008820DD" w:rsidRDefault="008820DD" w:rsidP="008820D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tbl>
      <w:tblPr>
        <w:tblW w:w="14556" w:type="dxa"/>
        <w:tblInd w:w="-36" w:type="dxa"/>
        <w:tblLook w:val="04A0" w:firstRow="1" w:lastRow="0" w:firstColumn="1" w:lastColumn="0" w:noHBand="0" w:noVBand="1"/>
      </w:tblPr>
      <w:tblGrid>
        <w:gridCol w:w="14556"/>
      </w:tblGrid>
      <w:tr w:rsidR="008820DD" w:rsidTr="008820DD">
        <w:trPr>
          <w:trHeight w:val="255"/>
        </w:trPr>
        <w:tc>
          <w:tcPr>
            <w:tcW w:w="14556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255"/>
        </w:trPr>
        <w:tc>
          <w:tcPr>
            <w:tcW w:w="14556" w:type="dxa"/>
            <w:noWrap/>
            <w:vAlign w:val="bottom"/>
          </w:tcPr>
          <w:p w:rsidR="008820DD" w:rsidRDefault="008820DD">
            <w:pPr>
              <w:ind w:hanging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0DD" w:rsidRDefault="008820DD" w:rsidP="0088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9" w:type="dxa"/>
        <w:tblInd w:w="-36" w:type="dxa"/>
        <w:tblLook w:val="04A0" w:firstRow="1" w:lastRow="0" w:firstColumn="1" w:lastColumn="0" w:noHBand="0" w:noVBand="1"/>
      </w:tblPr>
      <w:tblGrid>
        <w:gridCol w:w="1284"/>
        <w:gridCol w:w="9599"/>
        <w:gridCol w:w="1945"/>
        <w:gridCol w:w="1031"/>
      </w:tblGrid>
      <w:tr w:rsidR="008820DD" w:rsidTr="008820DD">
        <w:trPr>
          <w:trHeight w:val="255"/>
        </w:trPr>
        <w:tc>
          <w:tcPr>
            <w:tcW w:w="10883" w:type="dxa"/>
            <w:gridSpan w:val="2"/>
            <w:noWrap/>
            <w:vAlign w:val="bottom"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255"/>
        </w:trPr>
        <w:tc>
          <w:tcPr>
            <w:tcW w:w="1284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расходов на 2017 год</w:t>
            </w:r>
          </w:p>
        </w:tc>
        <w:tc>
          <w:tcPr>
            <w:tcW w:w="1031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20DD" w:rsidRDefault="008820DD" w:rsidP="008820DD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973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21"/>
        <w:gridCol w:w="1958"/>
        <w:gridCol w:w="1002"/>
        <w:gridCol w:w="1002"/>
        <w:gridCol w:w="1002"/>
        <w:gridCol w:w="240"/>
        <w:gridCol w:w="1092"/>
        <w:gridCol w:w="1092"/>
        <w:gridCol w:w="1426"/>
      </w:tblGrid>
      <w:tr w:rsidR="008820DD" w:rsidTr="008820DD">
        <w:trPr>
          <w:trHeight w:val="255"/>
        </w:trPr>
        <w:tc>
          <w:tcPr>
            <w:tcW w:w="920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8" w:type="dxa"/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noWrap/>
            <w:vAlign w:val="bottom"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8820DD" w:rsidTr="008820DD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noWrap/>
            <w:vAlign w:val="bottom"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8820DD" w:rsidTr="008820DD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820DD" w:rsidTr="008820DD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820DD" w:rsidTr="008820DD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6695,6</w:t>
            </w: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 государственной власти субъектов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5867,3</w:t>
            </w: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8820DD" w:rsidTr="008820DD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</w:tr>
      <w:tr w:rsidR="008820DD" w:rsidTr="008820DD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9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820DD" w:rsidTr="008820DD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9045,7</w:t>
            </w:r>
          </w:p>
        </w:tc>
      </w:tr>
      <w:tr w:rsidR="008820DD" w:rsidTr="008820DD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9045,7</w:t>
            </w:r>
          </w:p>
        </w:tc>
      </w:tr>
      <w:tr w:rsidR="008820DD" w:rsidTr="008820DD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3702,9</w:t>
            </w: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1542,8</w:t>
            </w:r>
          </w:p>
        </w:tc>
      </w:tr>
      <w:tr w:rsidR="008820DD" w:rsidTr="008820DD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1229,5</w:t>
            </w:r>
          </w:p>
        </w:tc>
      </w:tr>
      <w:tr w:rsidR="008820DD" w:rsidTr="008820D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19000,2</w:t>
            </w:r>
          </w:p>
        </w:tc>
      </w:tr>
      <w:tr w:rsidR="008820DD" w:rsidTr="008820DD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19000,2</w:t>
            </w:r>
          </w:p>
        </w:tc>
      </w:tr>
      <w:tr w:rsidR="008820DD" w:rsidTr="008820DD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8820DD" w:rsidTr="008820DD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1107,1</w:t>
            </w:r>
          </w:p>
        </w:tc>
      </w:tr>
      <w:tr w:rsidR="008820DD" w:rsidTr="008820DD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8820DD" w:rsidTr="008820DD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</w:tr>
      <w:tr w:rsidR="008820DD" w:rsidTr="008820DD">
        <w:trPr>
          <w:trHeight w:val="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39814,3</w:t>
            </w:r>
          </w:p>
        </w:tc>
      </w:tr>
    </w:tbl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1120D8">
      <w:pPr>
        <w:widowControl/>
        <w:autoSpaceDE/>
        <w:adjustRightInd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tbl>
      <w:tblPr>
        <w:tblW w:w="10016" w:type="dxa"/>
        <w:tblInd w:w="88" w:type="dxa"/>
        <w:tblLook w:val="04A0" w:firstRow="1" w:lastRow="0" w:firstColumn="1" w:lastColumn="0" w:noHBand="0" w:noVBand="1"/>
      </w:tblPr>
      <w:tblGrid>
        <w:gridCol w:w="10016"/>
      </w:tblGrid>
      <w:tr w:rsidR="008820DD" w:rsidTr="008820DD">
        <w:trPr>
          <w:trHeight w:val="300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Утверждено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B63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.12.2015 года №</w:t>
            </w:r>
            <w:r w:rsidR="001120D8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Приложение№7</w:t>
            </w:r>
          </w:p>
        </w:tc>
      </w:tr>
      <w:tr w:rsidR="008820DD" w:rsidTr="008820DD">
        <w:trPr>
          <w:trHeight w:val="315"/>
        </w:trPr>
        <w:tc>
          <w:tcPr>
            <w:tcW w:w="10016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60"/>
        <w:gridCol w:w="3580"/>
        <w:gridCol w:w="1080"/>
        <w:gridCol w:w="1125"/>
        <w:gridCol w:w="1575"/>
        <w:gridCol w:w="1058"/>
        <w:gridCol w:w="1282"/>
      </w:tblGrid>
      <w:tr w:rsidR="008820DD" w:rsidTr="008820DD">
        <w:trPr>
          <w:trHeight w:val="255"/>
        </w:trPr>
        <w:tc>
          <w:tcPr>
            <w:tcW w:w="10260" w:type="dxa"/>
            <w:gridSpan w:val="7"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структура расходов бюджета</w:t>
            </w:r>
          </w:p>
        </w:tc>
      </w:tr>
      <w:tr w:rsidR="008820DD" w:rsidTr="008820DD">
        <w:trPr>
          <w:trHeight w:val="255"/>
        </w:trPr>
        <w:tc>
          <w:tcPr>
            <w:tcW w:w="10260" w:type="dxa"/>
            <w:gridSpan w:val="7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</w:tr>
      <w:tr w:rsidR="008820DD" w:rsidTr="008820DD">
        <w:trPr>
          <w:trHeight w:val="255"/>
        </w:trPr>
        <w:tc>
          <w:tcPr>
            <w:tcW w:w="10260" w:type="dxa"/>
            <w:gridSpan w:val="7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8820DD" w:rsidTr="008820DD">
        <w:trPr>
          <w:trHeight w:val="270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2017 год</w:t>
            </w:r>
          </w:p>
        </w:tc>
      </w:tr>
      <w:tr w:rsidR="008820DD" w:rsidTr="008820DD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5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820DD" w:rsidTr="008820DD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39814,3</w:t>
            </w:r>
          </w:p>
        </w:tc>
      </w:tr>
      <w:tr w:rsidR="008820DD" w:rsidTr="008820DD">
        <w:trPr>
          <w:trHeight w:val="6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6695,6</w:t>
            </w:r>
          </w:p>
        </w:tc>
      </w:tr>
      <w:tr w:rsidR="008820DD" w:rsidTr="008820DD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276"/>
        </w:trPr>
        <w:tc>
          <w:tcPr>
            <w:tcW w:w="10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820DD" w:rsidRDefault="008820DD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16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5867,3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820DD" w:rsidRDefault="008820DD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распоряжению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6990112320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6990112320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5847,3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820DD" w:rsidRDefault="008820DD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773,8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5073,5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820DD" w:rsidRDefault="008820DD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5073,5</w:t>
            </w:r>
          </w:p>
        </w:tc>
      </w:tr>
      <w:tr w:rsidR="008820DD" w:rsidTr="008820DD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4561,5</w:t>
            </w:r>
          </w:p>
        </w:tc>
      </w:tr>
      <w:tr w:rsidR="008820DD" w:rsidTr="008820DD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20DD" w:rsidTr="008820DD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8820DD" w:rsidTr="008820DD">
        <w:trPr>
          <w:trHeight w:val="1455"/>
        </w:trPr>
        <w:tc>
          <w:tcPr>
            <w:tcW w:w="10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8030141080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8030141080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8820DD" w:rsidTr="008820D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820DD" w:rsidRDefault="008820DD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531,5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531,5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820DD" w:rsidRDefault="008820DD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8820DD" w:rsidTr="008820DD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820DD" w:rsidTr="008820DD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   в  границах поселения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9045,7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9045,7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2125,1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2125,1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дорог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6920,6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5400,6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5400,6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5400,6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5400,6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3702,9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338,7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338,7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338,7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820DD" w:rsidTr="008820DD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8820DD" w:rsidTr="008820DD">
        <w:trPr>
          <w:trHeight w:val="517"/>
        </w:trPr>
        <w:tc>
          <w:tcPr>
            <w:tcW w:w="10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0DD" w:rsidRDefault="008820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591,9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372,5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372,5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8820DD" w:rsidTr="008820DD">
        <w:trPr>
          <w:trHeight w:val="13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Капитальный ремонт многоквартирных домов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219,4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219,4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219,4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1542,8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8820DD" w:rsidRDefault="008820DD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20DD" w:rsidRDefault="008820DD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20DD" w:rsidRDefault="008820DD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1141,3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376,5</w:t>
            </w:r>
          </w:p>
        </w:tc>
      </w:tr>
      <w:tr w:rsidR="008820DD" w:rsidTr="008820DD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376,5</w:t>
            </w:r>
          </w:p>
        </w:tc>
      </w:tr>
      <w:tr w:rsidR="008820DD" w:rsidTr="008820DD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376,5</w:t>
            </w:r>
          </w:p>
        </w:tc>
      </w:tr>
      <w:tr w:rsidR="008820DD" w:rsidTr="008820DD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</w:tr>
      <w:tr w:rsidR="008820DD" w:rsidTr="008820DD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6990140015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6990140015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1229,5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499,9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499,9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самоуправления"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589,0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589,0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3110274310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140,6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699014001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699014001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6990140180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6990140180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19000,2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19000,2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19000,2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19000,2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и модернизация библиотек, досуговых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19000,2</w:t>
            </w:r>
          </w:p>
        </w:tc>
      </w:tr>
      <w:tr w:rsidR="008820DD" w:rsidTr="008820DD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14640,9</w:t>
            </w:r>
          </w:p>
        </w:tc>
      </w:tr>
      <w:tr w:rsidR="008820DD" w:rsidTr="008820DD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11197,3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3436,6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казённых учреждений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1899,3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1899,3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комплектованию книжных фондов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3410170360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8820DD" w:rsidRDefault="008820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3410170360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1107,1</w:t>
            </w:r>
          </w:p>
        </w:tc>
      </w:tr>
      <w:tr w:rsidR="008820DD" w:rsidTr="008820DD">
        <w:trPr>
          <w:trHeight w:val="19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8820DD" w:rsidTr="008820DD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820DD" w:rsidTr="008820DD">
        <w:trPr>
          <w:trHeight w:val="47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820DD" w:rsidTr="008820DD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8820DD" w:rsidTr="008820D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39814,3</w:t>
            </w:r>
          </w:p>
        </w:tc>
      </w:tr>
    </w:tbl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20D8" w:rsidRDefault="001120D8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8820DD" w:rsidRDefault="008820DD" w:rsidP="008820D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8820DD" w:rsidRDefault="008820DD" w:rsidP="008820D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820DD" w:rsidRDefault="008820DD" w:rsidP="008820D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8820DD" w:rsidRDefault="008820DD" w:rsidP="008820D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</w:t>
      </w:r>
      <w:r w:rsidR="001E69D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.12.2015г.№ </w:t>
      </w:r>
      <w:r w:rsidR="001120D8">
        <w:rPr>
          <w:rFonts w:ascii="Times New Roman" w:hAnsi="Times New Roman" w:cs="Times New Roman"/>
          <w:sz w:val="24"/>
          <w:szCs w:val="24"/>
        </w:rPr>
        <w:t>106</w:t>
      </w:r>
    </w:p>
    <w:p w:rsidR="008820DD" w:rsidRDefault="008820DD" w:rsidP="008820D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№8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820DD" w:rsidRDefault="008820DD" w:rsidP="008820DD">
      <w:pPr>
        <w:ind w:firstLine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бани, услуг по организации помывки населения</w:t>
      </w:r>
    </w:p>
    <w:p w:rsidR="008820DD" w:rsidRDefault="008820DD" w:rsidP="008820DD">
      <w:pPr>
        <w:pStyle w:val="ConsPlusNormal"/>
        <w:widowControl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предоставления субсидий за счет средств местного бюджета, предусмотренных юридическим лицам (за исключением  муниципальных  учреждений), индивидуальным предпринимателям, предоставляющим услуги по организации работы бани  и  помывки населения.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Субсидия предоставляется на безвозмездной и безвозвратной основе в целях возмещения затрат или недополученных доходов в связи с оказанием услуг по организации работы бани и помывки населения  при наличии муниципального контракта или гражданско-правового договора, заключенного с Администрацией поселения по результатам конкурсного отбора или иного основания.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Главным распорядителем средств субсидии является Администрация поселения.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Субсидия предоставляется в пределах бюджетных ассигнований, утвержденных Администрации поселения Решением о местном бюджете на соответствующий финансовый год.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Между Администрацией поселения и получателем субсидии заключается договор о предоставлении и целевом использовании субсидии.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договоре о предоставлении и целевом использовании субсидии предусматриваются: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предмет договора, которым определяется цель предоставления субсидии;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субсидии;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обязательства по целевому использованию субсидии;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условие предоставления субсидии в виде согласия получателя субсидии на осуществление Администрацией поселения, как главным распорядителем бюджетных средств, и Комитетом финансов, как органом муниципального финансового контроля, проверок соблюдения получателем субсидий условий, целей и порядка их предоставления;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-ответственность за несоблюдение условий указанного договора, предусматривающая возврат в местный бюджет  суммы субсидии в случаях ее нецелевого использования в установленные сроки.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Перечисление субсидии осуществляется ежемесячно Комитетом финансов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распорядительных заявок на расход, представленных Администрацией поселения, на счета получателей субсидии, открытые в кредитных организациях.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Получатели субсидии представляют ежеквартально, не позднее 10-го числа месяца, следующего за отчетным периодом, в Администрацию поселения отчет о расходовании субсидии по форме, утверждаемой Администрацией поселения.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использования субсидии не по целевому назначению соответствующие средства взыскиваются в местный  бюджет.</w:t>
      </w:r>
    </w:p>
    <w:p w:rsidR="008820DD" w:rsidRDefault="008820DD" w:rsidP="008820DD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Контроль и обязательная проверка соблюдения условий, целей и порядка предоставления субсидий их получателем, осуществляется Администрацией поселения и Комитетом финансов, как органом муниципального финансового контроля.</w:t>
      </w: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9D6" w:rsidRDefault="001E69D6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214" w:rsidRDefault="007B5214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20DD" w:rsidRDefault="008820DD" w:rsidP="008820D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8820DD" w:rsidRDefault="008820DD" w:rsidP="008820D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820DD" w:rsidRDefault="008820DD" w:rsidP="008820D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8820DD" w:rsidRDefault="008820DD" w:rsidP="008820D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69D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.12.2016 г.№</w:t>
      </w:r>
      <w:r w:rsidR="007B5214">
        <w:rPr>
          <w:rFonts w:ascii="Times New Roman" w:hAnsi="Times New Roman" w:cs="Times New Roman"/>
          <w:sz w:val="24"/>
          <w:szCs w:val="24"/>
        </w:rPr>
        <w:t>106</w:t>
      </w:r>
    </w:p>
    <w:p w:rsidR="008820DD" w:rsidRDefault="008820DD" w:rsidP="008820D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8820DD" w:rsidRDefault="008820DD" w:rsidP="008820DD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</w:t>
      </w:r>
    </w:p>
    <w:p w:rsidR="008820DD" w:rsidRDefault="008820DD" w:rsidP="008820DD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  Р  О  Г  Р  А  М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А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 Ленинградской области  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 год.</w:t>
      </w:r>
    </w:p>
    <w:p w:rsidR="008820DD" w:rsidRDefault="008820DD" w:rsidP="008820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left="7788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1702"/>
        <w:gridCol w:w="1560"/>
        <w:gridCol w:w="1419"/>
        <w:gridCol w:w="1475"/>
      </w:tblGrid>
      <w:tr w:rsidR="008820DD" w:rsidTr="008820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2017года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2017году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погашения в 2017году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2018года</w:t>
            </w:r>
          </w:p>
        </w:tc>
      </w:tr>
      <w:tr w:rsidR="008820DD" w:rsidTr="008820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4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1874,3</w:t>
            </w:r>
          </w:p>
        </w:tc>
      </w:tr>
      <w:tr w:rsidR="008820DD" w:rsidTr="008820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1066,3</w:t>
            </w:r>
          </w:p>
        </w:tc>
      </w:tr>
      <w:tr w:rsidR="008820DD" w:rsidTr="008820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2940,6</w:t>
            </w:r>
          </w:p>
        </w:tc>
      </w:tr>
    </w:tbl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0DD" w:rsidRDefault="008820DD" w:rsidP="008820DD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Ind w:w="108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8820DD" w:rsidTr="008820DD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Решением совета депутатов</w:t>
            </w:r>
          </w:p>
        </w:tc>
      </w:tr>
      <w:tr w:rsidR="008820DD" w:rsidTr="008820DD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255"/>
        </w:trPr>
        <w:tc>
          <w:tcPr>
            <w:tcW w:w="11397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 </w:t>
            </w:r>
            <w:r w:rsidR="001E69D6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7B52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 10</w:t>
      </w:r>
    </w:p>
    <w:p w:rsidR="008820DD" w:rsidRDefault="008820DD" w:rsidP="008820DD">
      <w:pPr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Адресная инвестиционная программа на 2017 год</w:t>
      </w:r>
    </w:p>
    <w:p w:rsidR="008820DD" w:rsidRDefault="008820DD" w:rsidP="008820DD">
      <w:pPr>
        <w:ind w:left="7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20"/>
        <w:gridCol w:w="2100"/>
        <w:gridCol w:w="1800"/>
      </w:tblGrid>
      <w:tr w:rsidR="008820DD" w:rsidTr="008820D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8820DD" w:rsidTr="008820D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1276,2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…"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ремонт автомобильных дорог  </w:t>
            </w:r>
          </w:p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поселения…»,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ямочного ремонта в населенных пунктах поселения </w:t>
            </w:r>
          </w:p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«Обеспечение качественным  жильем граждан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820DD" w:rsidRP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«Переселение граждан из аварийного жилищного фонда с учетом необходимости развития малоэтажного жилищного строительства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»</w:t>
            </w:r>
          </w:p>
          <w:p w:rsidR="008820DD" w:rsidRP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строительстве МКД с. Алёховщина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переселения граждан из аварийного жилья </w:t>
            </w:r>
          </w:p>
          <w:p w:rsidR="008820DD" w:rsidRDefault="008820DD">
            <w:pPr>
              <w:pStyle w:val="1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820DD" w:rsidRDefault="008820DD">
            <w:pPr>
              <w:pStyle w:val="12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Подпрограмма </w:t>
            </w:r>
            <w:r>
              <w:rPr>
                <w:i w:val="0"/>
                <w:sz w:val="24"/>
                <w:szCs w:val="24"/>
                <w:lang w:val="ru-RU"/>
              </w:rPr>
              <w:t>«</w:t>
            </w:r>
            <w:r>
              <w:rPr>
                <w:i w:val="0"/>
                <w:sz w:val="24"/>
                <w:szCs w:val="24"/>
              </w:rPr>
              <w:t xml:space="preserve">Обеспечение мероприятий по капитальному ремонту многоквартирных домов на территории 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Алеховщинского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i w:val="0"/>
                <w:sz w:val="24"/>
                <w:szCs w:val="24"/>
              </w:rPr>
              <w:t>поселения»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многоквартирных домов (взнос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ператору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591,9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отведение  водопровода от   водозаборной скважины к жилым домам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0DD" w:rsidTr="008820D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1276,2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</w:p>
    <w:tbl>
      <w:tblPr>
        <w:tblpPr w:leftFromText="180" w:rightFromText="180" w:vertAnchor="text" w:horzAnchor="margin" w:tblpXSpec="center" w:tblpY="156"/>
        <w:tblW w:w="10460" w:type="dxa"/>
        <w:tblLook w:val="00A0" w:firstRow="1" w:lastRow="0" w:firstColumn="1" w:lastColumn="0" w:noHBand="0" w:noVBand="0"/>
      </w:tblPr>
      <w:tblGrid>
        <w:gridCol w:w="800"/>
        <w:gridCol w:w="1140"/>
        <w:gridCol w:w="8520"/>
      </w:tblGrid>
      <w:tr w:rsidR="008820DD" w:rsidTr="008820DD">
        <w:trPr>
          <w:trHeight w:val="255"/>
        </w:trPr>
        <w:tc>
          <w:tcPr>
            <w:tcW w:w="80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  <w:hideMark/>
          </w:tcPr>
          <w:p w:rsidR="008820DD" w:rsidRDefault="008820DD" w:rsidP="003A6685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255"/>
        </w:trPr>
        <w:tc>
          <w:tcPr>
            <w:tcW w:w="80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8820DD" w:rsidTr="008820DD">
        <w:trPr>
          <w:trHeight w:val="255"/>
        </w:trPr>
        <w:tc>
          <w:tcPr>
            <w:tcW w:w="10460" w:type="dxa"/>
            <w:gridSpan w:val="3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8820DD" w:rsidTr="008820DD">
        <w:trPr>
          <w:trHeight w:val="255"/>
        </w:trPr>
        <w:tc>
          <w:tcPr>
            <w:tcW w:w="80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20DD" w:rsidTr="008820DD">
        <w:trPr>
          <w:trHeight w:val="255"/>
        </w:trPr>
        <w:tc>
          <w:tcPr>
            <w:tcW w:w="10460" w:type="dxa"/>
            <w:gridSpan w:val="3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8820DD" w:rsidTr="008820DD">
        <w:trPr>
          <w:trHeight w:val="255"/>
        </w:trPr>
        <w:tc>
          <w:tcPr>
            <w:tcW w:w="10460" w:type="dxa"/>
            <w:gridSpan w:val="3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 г. №</w:t>
            </w:r>
            <w:r w:rsidR="003A668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820DD" w:rsidTr="008820DD">
        <w:trPr>
          <w:trHeight w:val="255"/>
        </w:trPr>
        <w:tc>
          <w:tcPr>
            <w:tcW w:w="80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Приложение № 11</w:t>
            </w:r>
          </w:p>
        </w:tc>
      </w:tr>
      <w:tr w:rsidR="008820DD" w:rsidTr="008820DD">
        <w:trPr>
          <w:trHeight w:val="255"/>
        </w:trPr>
        <w:tc>
          <w:tcPr>
            <w:tcW w:w="80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rPr>
          <w:trHeight w:val="255"/>
        </w:trPr>
        <w:tc>
          <w:tcPr>
            <w:tcW w:w="80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Р Е Ч Е Н Ь</w:t>
            </w:r>
          </w:p>
        </w:tc>
      </w:tr>
      <w:tr w:rsidR="008820DD" w:rsidTr="008820DD">
        <w:trPr>
          <w:trHeight w:val="255"/>
        </w:trPr>
        <w:tc>
          <w:tcPr>
            <w:tcW w:w="80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СРЕДСТВ БЮДЖЕТА</w:t>
            </w:r>
          </w:p>
        </w:tc>
      </w:tr>
      <w:tr w:rsidR="008820DD" w:rsidTr="008820DD">
        <w:trPr>
          <w:trHeight w:val="255"/>
        </w:trPr>
        <w:tc>
          <w:tcPr>
            <w:tcW w:w="80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</w:tc>
      </w:tr>
      <w:tr w:rsidR="008820DD" w:rsidTr="008820DD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20DD" w:rsidTr="008820DD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20DD" w:rsidTr="008820DD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20DD" w:rsidTr="008820D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820DD" w:rsidTr="008820DD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8820DD" w:rsidTr="008820DD">
        <w:trPr>
          <w:trHeight w:val="255"/>
        </w:trPr>
        <w:tc>
          <w:tcPr>
            <w:tcW w:w="80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8820DD" w:rsidRDefault="008820D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0DD" w:rsidRDefault="008820DD" w:rsidP="008820DD">
      <w:pPr>
        <w:tabs>
          <w:tab w:val="left" w:pos="591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474C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4C02">
        <w:rPr>
          <w:rFonts w:ascii="Times New Roman" w:hAnsi="Times New Roman" w:cs="Times New Roman"/>
          <w:sz w:val="24"/>
          <w:szCs w:val="24"/>
        </w:rPr>
        <w:t>16.</w:t>
      </w:r>
      <w:smartTag w:uri="urn:schemas-microsoft-com:office:smarttags" w:element="metricconverter">
        <w:smartTagPr>
          <w:attr w:name="ProductID" w:val="12.2016 г"/>
        </w:smartTagPr>
        <w:r>
          <w:rPr>
            <w:rFonts w:ascii="Times New Roman" w:hAnsi="Times New Roman" w:cs="Times New Roman"/>
            <w:sz w:val="24"/>
            <w:szCs w:val="24"/>
          </w:rPr>
          <w:t>12.2016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="003A6685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№12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бюджету 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 на 2017 год.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820DD" w:rsidTr="008820DD">
        <w:trPr>
          <w:trHeight w:val="3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</w:tbl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685" w:rsidRDefault="003A6685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4C0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.12.2015 г. №</w:t>
      </w:r>
      <w:r w:rsidR="003A6685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№13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и расходования  иных межбюджетных трансфертов бюджету 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контроля.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Настоящий порядок определяет  условия расходования иных межбюджетных трансфертов бюджету  муниципального района на осуществление части полномочий контрольно-счетной комиссии  поселения по осуществлению внешнего муниципального финансового контроля.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Главным распорядителем бюджетных средств является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8820DD" w:rsidRDefault="008820DD" w:rsidP="008820D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Размер иных 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бюджету  муниципального района на осуществление части полномочий контрольно-счетной комиссии  поселения по осуществлению внешнего муниципального финансового контроля определяется по следующей формуле: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*1/5,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району;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месячный фонд заработной платы специалиста 1 категории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 включая соответствующие  начисления на фонд оплаты труда.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Иные межбюджетные трансферты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бюджету муниципального района представляются в соответствие с Соглашением  о передаче части полномочий контрольно-счетной комиссии поселения по осуществлению внешнего муниципального финансового контроля.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Перечисление иных межбюджетных трансфертов осуществляется Комитетом финансов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поселения.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поселения.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474C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C02" w:rsidRDefault="00474C02" w:rsidP="00474C02">
      <w:pPr>
        <w:ind w:left="212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4C02" w:rsidRDefault="00474C02" w:rsidP="008820DD">
      <w:pPr>
        <w:ind w:left="212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4C02" w:rsidRDefault="00474C02" w:rsidP="008820DD">
      <w:pPr>
        <w:ind w:left="212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Pr="00474C02" w:rsidRDefault="00474C02" w:rsidP="00474C02">
      <w:pPr>
        <w:ind w:left="2124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0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8820D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4C0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.12.2016 г. №</w:t>
      </w:r>
      <w:r w:rsidR="003A6685">
        <w:rPr>
          <w:rFonts w:ascii="Times New Roman" w:hAnsi="Times New Roman" w:cs="Times New Roman"/>
          <w:sz w:val="24"/>
          <w:szCs w:val="24"/>
        </w:rPr>
        <w:t>106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бюджету  муниципального района на осуществление части полномочий по формированию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исполнению и контролю за исполнением бюджета поселения 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2017год.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20DD" w:rsidRDefault="008820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(тысяч рублей)</w:t>
            </w:r>
          </w:p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275,8</w:t>
            </w:r>
          </w:p>
        </w:tc>
      </w:tr>
    </w:tbl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4C0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.12.2016 г. №</w:t>
      </w:r>
      <w:r w:rsidR="003A6685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№15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Расчета и расходования  иных межбюджетных трансфертов бюджету  муниципального района на осуществление части полномочий по формированию, исполнению и контролю 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исполнением бюджета поселения.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Настоящий порядок определяет условия расходования иных межбюджетных трансфертов бюджету  муниципального района на осуществление части полномочий по формированию, исполнению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поселения.</w:t>
      </w:r>
    </w:p>
    <w:p w:rsidR="008820DD" w:rsidRDefault="008820DD" w:rsidP="008820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8820DD" w:rsidRDefault="008820DD" w:rsidP="008820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Размер иных 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формированию, исполнению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определяется по следующей формуле: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882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*Т*12,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району;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месячный фонд заработной платы ведущего специалиста Комитета финансов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 включая соответствующие  начисления на фонд оплаты труда;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 ставок, занятых работниками на формировании, исполнении и контроле за исполнением бюджета поселения;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 количество месяцев в году.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Иные межбюджетные трансферты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бюджету муниципального района представляются в соответствие с Соглашением  о передаче части полномочий по формированию, исполнению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поселения.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Перечисление иных межбюджетных трансфертов осуществляется Комитетом финансов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поселения.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4C0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.12.2016 г №</w:t>
      </w:r>
      <w:r w:rsidR="00355973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16 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в сфере  комплектования книжных фондов библиотек 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год.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</w:tbl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4C0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.12.2016 г. №</w:t>
      </w:r>
      <w:r w:rsidR="00355973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17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Расчета и расходования иных межбюджетных трансфертов бюджету  муниципального района на осуществление части полномочий  в сфере  комплектования книжных фондов библиотек. 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 условия расходования иных межбюджетных трансфертов бюджету  муниципального района на осуществление части полномочий в сфере  комплектования книжных фондов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библиотек. </w:t>
      </w:r>
    </w:p>
    <w:p w:rsidR="008820DD" w:rsidRDefault="008820DD" w:rsidP="008820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Главным распорядителем бюджетных средств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8820DD" w:rsidRDefault="008820DD" w:rsidP="008820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бюджету  муниципального района на осуществление части полномочий в сфере  комплектования книжных фондов библиотек определяется по следующей формуле: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иных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району;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жителей в поселении (тыс. человек);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882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пополнения  книжного фонда (250 книг на 1 тыс. человек в соответствии с Распоряжением Правительства  РФ №923-р от 13 июля 2007г.)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стоимость по району одной приобретаемой книги. 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бюджету муниципального района представляются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 с Соглашением  о передаче осуществления полномочий в сфере создания условий для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доступа и обеспечения жителей поселения услугами библиотеки.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Перечисление иных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Комитетом финансов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поселения.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поселения.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8820DD" w:rsidRDefault="008820DD" w:rsidP="008820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4C02">
        <w:rPr>
          <w:rFonts w:ascii="Times New Roman" w:hAnsi="Times New Roman" w:cs="Times New Roman"/>
          <w:sz w:val="24"/>
          <w:szCs w:val="24"/>
        </w:rPr>
        <w:t>16.</w:t>
      </w:r>
      <w:smartTag w:uri="urn:schemas-microsoft-com:office:smarttags" w:element="metricconverter">
        <w:smartTagPr>
          <w:attr w:name="ProductID" w:val="12.2016 г"/>
        </w:smartTagPr>
        <w:r>
          <w:rPr>
            <w:rFonts w:ascii="Times New Roman" w:hAnsi="Times New Roman" w:cs="Times New Roman"/>
            <w:sz w:val="24"/>
            <w:szCs w:val="24"/>
          </w:rPr>
          <w:t>12.2016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="00C72552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0DD" w:rsidRDefault="008820DD" w:rsidP="008820D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Приложение №  18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2017год.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</w:tr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</w:tbl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left="708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8820DD" w:rsidRDefault="008820DD" w:rsidP="008820DD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0DD" w:rsidRDefault="008820DD" w:rsidP="008820DD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4C0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.12.2016 г. №</w:t>
      </w:r>
      <w:r w:rsidR="00C72552">
        <w:rPr>
          <w:rFonts w:ascii="Times New Roman" w:hAnsi="Times New Roman" w:cs="Times New Roman"/>
          <w:sz w:val="24"/>
          <w:szCs w:val="24"/>
        </w:rPr>
        <w:t>106</w:t>
      </w:r>
    </w:p>
    <w:p w:rsidR="008820DD" w:rsidRDefault="008820DD" w:rsidP="008820DD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№19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и расходования иных межбюджетных трансфертов бюджету  муниципального района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условия расходования иных межбюджетных трансфертов бюджету  муниципального района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 муниципальные должности.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Размер иных межбюджетных трансфертов бюджету  муниципального района на осуществление части полномочий по выплатам пенсий  за  выслугу лет  лицам, замещавшим должности муниципальной службы и доплат к трудовой пенсии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*12,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муниципальному району;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пенсий за выслугу лет лицам, замещавшим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службы и доплат к трудовой пенсии лицам, замещавшим муниципальные должности в месяц ;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 количество месяцев в году.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межбюджетные трансферты бюджету муниципального района представляются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 с Соглашением  о передаче  части полномочий по выплатам пенсий за  выслугу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 лицам, замещавшим должности муниципальной службы и доплат к трудовой пенсии лицам, замещавшим муниципальные должности.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Перечисление иных межбюджетных трансфертов осуществляется Комитетом финансов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 поселения.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 поселения.</w:t>
      </w: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8820DD" w:rsidRDefault="008820DD" w:rsidP="008820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74C0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.12.2016 г. №</w:t>
      </w:r>
      <w:r w:rsidR="00C72552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0DD" w:rsidRDefault="008820DD" w:rsidP="008820DD">
      <w:pPr>
        <w:ind w:left="73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Приложение №  20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земельному контролю</w:t>
      </w:r>
    </w:p>
    <w:p w:rsidR="008820DD" w:rsidRDefault="008820DD" w:rsidP="0088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2017год.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20DD" w:rsidRDefault="00882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820DD" w:rsidTr="008820D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DD" w:rsidRDefault="0088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</w:tbl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4C02" w:rsidRDefault="00474C0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4C02" w:rsidRPr="00474C02" w:rsidRDefault="00474C0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552" w:rsidRDefault="00C7255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552" w:rsidRDefault="00C7255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552" w:rsidRDefault="00C7255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552" w:rsidRDefault="00C7255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552" w:rsidRDefault="00C7255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552" w:rsidRDefault="00C7255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552" w:rsidRDefault="00C7255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552" w:rsidRDefault="00C7255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552" w:rsidRDefault="00C72552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</w:t>
      </w:r>
      <w:r w:rsidR="00474C0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.12.2016 №</w:t>
      </w:r>
      <w:r w:rsidR="00C72552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                 Приложение №  21</w:t>
      </w:r>
    </w:p>
    <w:p w:rsidR="008820DD" w:rsidRDefault="008820DD" w:rsidP="008820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Расчета и расходования  иных межбюджетных трансфертов бюджету  муниципального района на осуществление части полномочий </w:t>
      </w:r>
    </w:p>
    <w:p w:rsidR="008820DD" w:rsidRDefault="008820DD" w:rsidP="0088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земельному контролю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 условия расходования иных межбюджетных трансфертов бюджету  муниципального района на осуществление части полномочий  по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муниципальному земельному контролю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Размер иных межбюджетных трансфертов бюджету муниципального района на осуществление  части полномочий по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муниципальному земельному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0DD" w:rsidRDefault="008820DD" w:rsidP="008820D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муниципальному району;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установленное значение суммы на текущее содержание (расходные материалы)  в месяц; 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месяцев в году.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Иные межбюджетные трансферты бюджету муниципального района представляются в соответствие с Соглашением  о передаче части полномочий по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муниципальному земельному контролю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Перечисление иных межбюджетных трансфертов осуществляется Комитетом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основании бюджетной заявки,  представляемой Администрацией  поселения.</w:t>
      </w: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 поселения.</w:t>
      </w:r>
    </w:p>
    <w:p w:rsidR="008820DD" w:rsidRDefault="008820DD" w:rsidP="008820DD">
      <w:pPr>
        <w:ind w:left="92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820DD" w:rsidRDefault="008820DD" w:rsidP="00474C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20DD" w:rsidRDefault="008820DD" w:rsidP="008820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83E86" w:rsidRDefault="00C72552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98"/>
    <w:rsid w:val="000376ED"/>
    <w:rsid w:val="00050140"/>
    <w:rsid w:val="000A4A27"/>
    <w:rsid w:val="000A66F0"/>
    <w:rsid w:val="000B6F98"/>
    <w:rsid w:val="001120D8"/>
    <w:rsid w:val="001B630B"/>
    <w:rsid w:val="001E69D6"/>
    <w:rsid w:val="003246C4"/>
    <w:rsid w:val="00355973"/>
    <w:rsid w:val="003A6685"/>
    <w:rsid w:val="00474C02"/>
    <w:rsid w:val="00491A34"/>
    <w:rsid w:val="007A0FB2"/>
    <w:rsid w:val="007B5214"/>
    <w:rsid w:val="008820DD"/>
    <w:rsid w:val="00930357"/>
    <w:rsid w:val="00B7355D"/>
    <w:rsid w:val="00C72552"/>
    <w:rsid w:val="00E531C7"/>
    <w:rsid w:val="00EA4036"/>
    <w:rsid w:val="00EB69A4"/>
    <w:rsid w:val="00E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0D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20D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D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820DD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820D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0DD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8820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820DD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820D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8820DD"/>
    <w:rPr>
      <w:rFonts w:ascii="Arial" w:eastAsia="Calibri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882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820DD"/>
    <w:rPr>
      <w:rFonts w:ascii="Tahoma" w:eastAsia="Calibri" w:hAnsi="Tahoma" w:cs="Tahoma"/>
      <w:sz w:val="16"/>
      <w:szCs w:val="16"/>
      <w:lang w:eastAsia="ru-RU"/>
    </w:rPr>
  </w:style>
  <w:style w:type="paragraph" w:customStyle="1" w:styleId="4">
    <w:name w:val="Знак Знак4 Знак Знак"/>
    <w:basedOn w:val="a"/>
    <w:rsid w:val="008820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customStyle="1" w:styleId="ConsPlusNonformat">
    <w:name w:val="ConsPlusNonformat"/>
    <w:rsid w:val="008820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8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2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Стиль1 Знак"/>
    <w:link w:val="12"/>
    <w:locked/>
    <w:rsid w:val="008820DD"/>
    <w:rPr>
      <w:b/>
      <w:i/>
      <w:sz w:val="28"/>
      <w:szCs w:val="28"/>
      <w:lang w:val="x-none"/>
    </w:rPr>
  </w:style>
  <w:style w:type="paragraph" w:customStyle="1" w:styleId="12">
    <w:name w:val="Стиль1"/>
    <w:basedOn w:val="a"/>
    <w:link w:val="11"/>
    <w:qFormat/>
    <w:rsid w:val="008820DD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8"/>
      <w:lang w:val="x-none" w:eastAsia="en-US"/>
    </w:rPr>
  </w:style>
  <w:style w:type="paragraph" w:customStyle="1" w:styleId="13">
    <w:name w:val="Знак Знак1 Знак Знак"/>
    <w:basedOn w:val="a"/>
    <w:rsid w:val="008820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A0FB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A0FB2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0D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20D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D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820DD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820D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0DD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8820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820DD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820D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8820DD"/>
    <w:rPr>
      <w:rFonts w:ascii="Arial" w:eastAsia="Calibri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882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820DD"/>
    <w:rPr>
      <w:rFonts w:ascii="Tahoma" w:eastAsia="Calibri" w:hAnsi="Tahoma" w:cs="Tahoma"/>
      <w:sz w:val="16"/>
      <w:szCs w:val="16"/>
      <w:lang w:eastAsia="ru-RU"/>
    </w:rPr>
  </w:style>
  <w:style w:type="paragraph" w:customStyle="1" w:styleId="4">
    <w:name w:val="Знак Знак4 Знак Знак"/>
    <w:basedOn w:val="a"/>
    <w:rsid w:val="008820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customStyle="1" w:styleId="ConsPlusNonformat">
    <w:name w:val="ConsPlusNonformat"/>
    <w:rsid w:val="008820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8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2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">
    <w:name w:val="Стиль1 Знак"/>
    <w:link w:val="12"/>
    <w:locked/>
    <w:rsid w:val="008820DD"/>
    <w:rPr>
      <w:b/>
      <w:i/>
      <w:sz w:val="28"/>
      <w:szCs w:val="28"/>
      <w:lang w:val="x-none"/>
    </w:rPr>
  </w:style>
  <w:style w:type="paragraph" w:customStyle="1" w:styleId="12">
    <w:name w:val="Стиль1"/>
    <w:basedOn w:val="a"/>
    <w:link w:val="11"/>
    <w:qFormat/>
    <w:rsid w:val="008820DD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8"/>
      <w:lang w:val="x-none" w:eastAsia="en-US"/>
    </w:rPr>
  </w:style>
  <w:style w:type="paragraph" w:customStyle="1" w:styleId="13">
    <w:name w:val="Знак Знак1 Знак Знак"/>
    <w:basedOn w:val="a"/>
    <w:rsid w:val="008820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A0FB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A0FB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A:\DOCUME~1\16CA~1\LOCALS~1\Temp\Rar$DI02.828\&#1058;&#1077;&#1082;&#1089;&#1090;%20&#1079;&#1072;&#1082;&#1086;&#1085;&#1072;%20&#1085;&#1072;%202009-20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59</Pages>
  <Words>13609</Words>
  <Characters>77572</Characters>
  <Application>Microsoft Office Word</Application>
  <DocSecurity>0</DocSecurity>
  <Lines>646</Lines>
  <Paragraphs>181</Paragraphs>
  <ScaleCrop>false</ScaleCrop>
  <Company/>
  <LinksUpToDate>false</LinksUpToDate>
  <CharactersWithSpaces>91000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2016-12-19T12:17:00Z</dcterms:created>
  <dcterms:modified xsi:type="dcterms:W3CDTF">2016-12-19T12:32:00Z</dcterms:modified>
</cp:coreProperties>
</file>