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BE4FD2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BE4FD2" w:rsidRPr="00BE4FD2">
        <w:rPr>
          <w:b/>
          <w:szCs w:val="28"/>
        </w:rPr>
        <w:t>3</w:t>
      </w:r>
      <w:r w:rsidR="00BE4FD2">
        <w:rPr>
          <w:b/>
          <w:szCs w:val="28"/>
          <w:lang w:val="en-US"/>
        </w:rPr>
        <w:t>36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AA5750" w:rsidRDefault="004D75F3" w:rsidP="00AA5750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B5589B" w:rsidRPr="00BE4FD2" w:rsidRDefault="004D75F3" w:rsidP="00B5589B">
      <w:pPr>
        <w:pStyle w:val="p5"/>
        <w:contextualSpacing/>
        <w:rPr>
          <w:bCs/>
          <w:color w:val="1D1B11"/>
          <w:sz w:val="28"/>
          <w:szCs w:val="28"/>
        </w:rPr>
      </w:pPr>
      <w:r w:rsidRPr="004D75F3">
        <w:rPr>
          <w:sz w:val="28"/>
          <w:szCs w:val="28"/>
        </w:rPr>
        <w:t>«</w:t>
      </w:r>
      <w:r w:rsidR="00B5589B" w:rsidRPr="0051230D">
        <w:rPr>
          <w:bCs/>
          <w:color w:val="1D1B11"/>
          <w:sz w:val="28"/>
          <w:szCs w:val="28"/>
        </w:rPr>
        <w:t xml:space="preserve">Приватизация муниципального имущества </w:t>
      </w:r>
    </w:p>
    <w:p w:rsidR="00B5589B" w:rsidRPr="00BE4FD2" w:rsidRDefault="00B5589B" w:rsidP="00B5589B">
      <w:pPr>
        <w:pStyle w:val="p5"/>
        <w:contextualSpacing/>
        <w:rPr>
          <w:bCs/>
          <w:color w:val="1D1B11"/>
          <w:sz w:val="28"/>
          <w:szCs w:val="28"/>
        </w:rPr>
      </w:pPr>
      <w:r w:rsidRPr="0051230D">
        <w:rPr>
          <w:bCs/>
          <w:color w:val="1D1B11"/>
          <w:sz w:val="28"/>
          <w:szCs w:val="28"/>
        </w:rPr>
        <w:t xml:space="preserve">Алеховщинского сельского поселения </w:t>
      </w:r>
    </w:p>
    <w:p w:rsidR="00B5589B" w:rsidRPr="00B5589B" w:rsidRDefault="00B5589B" w:rsidP="00B5589B">
      <w:pPr>
        <w:pStyle w:val="p5"/>
        <w:contextualSpacing/>
        <w:rPr>
          <w:bCs/>
          <w:color w:val="1D1B11"/>
          <w:sz w:val="28"/>
          <w:szCs w:val="28"/>
        </w:rPr>
      </w:pPr>
      <w:r w:rsidRPr="0051230D">
        <w:rPr>
          <w:bCs/>
          <w:color w:val="1D1B11"/>
          <w:sz w:val="28"/>
          <w:szCs w:val="28"/>
        </w:rPr>
        <w:t xml:space="preserve">Лодейнопольского муниципального района </w:t>
      </w:r>
    </w:p>
    <w:p w:rsidR="00946293" w:rsidRPr="00BE4FD2" w:rsidRDefault="00B5589B" w:rsidP="00B5589B">
      <w:pPr>
        <w:pStyle w:val="p5"/>
        <w:contextualSpacing/>
        <w:rPr>
          <w:sz w:val="28"/>
          <w:szCs w:val="28"/>
        </w:rPr>
      </w:pPr>
      <w:r w:rsidRPr="0051230D">
        <w:rPr>
          <w:bCs/>
          <w:color w:val="1D1B11"/>
          <w:sz w:val="28"/>
          <w:szCs w:val="28"/>
        </w:rPr>
        <w:t>Ленинградской области</w:t>
      </w:r>
      <w:r w:rsidR="00946293">
        <w:rPr>
          <w:sz w:val="28"/>
          <w:szCs w:val="28"/>
        </w:rPr>
        <w:t xml:space="preserve">» от </w:t>
      </w:r>
      <w:r w:rsidRPr="00BE4FD2">
        <w:rPr>
          <w:sz w:val="28"/>
          <w:szCs w:val="28"/>
        </w:rPr>
        <w:t>22</w:t>
      </w:r>
      <w:r w:rsidR="00946293">
        <w:rPr>
          <w:sz w:val="28"/>
          <w:szCs w:val="28"/>
        </w:rPr>
        <w:t>.</w:t>
      </w:r>
      <w:r w:rsidR="00AA5750">
        <w:rPr>
          <w:sz w:val="28"/>
          <w:szCs w:val="28"/>
        </w:rPr>
        <w:t>0</w:t>
      </w:r>
      <w:r w:rsidRPr="00BE4FD2">
        <w:rPr>
          <w:sz w:val="28"/>
          <w:szCs w:val="28"/>
        </w:rPr>
        <w:t>5</w:t>
      </w:r>
      <w:r w:rsidR="00946293">
        <w:rPr>
          <w:sz w:val="28"/>
          <w:szCs w:val="28"/>
        </w:rPr>
        <w:t>.201</w:t>
      </w:r>
      <w:r w:rsidR="00AA5750">
        <w:rPr>
          <w:sz w:val="28"/>
          <w:szCs w:val="28"/>
        </w:rPr>
        <w:t>5</w:t>
      </w:r>
      <w:r w:rsidR="00946293">
        <w:rPr>
          <w:sz w:val="28"/>
          <w:szCs w:val="28"/>
        </w:rPr>
        <w:t xml:space="preserve"> г. № </w:t>
      </w:r>
      <w:r w:rsidRPr="00BE4FD2">
        <w:rPr>
          <w:sz w:val="28"/>
          <w:szCs w:val="28"/>
        </w:rPr>
        <w:t>136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4D75F3" w:rsidRPr="003705C5" w:rsidRDefault="0097047A" w:rsidP="00BE4FD2">
      <w:pPr>
        <w:pStyle w:val="p5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sz w:val="28"/>
          <w:szCs w:val="28"/>
        </w:rPr>
        <w:t>1.</w:t>
      </w:r>
      <w:r w:rsidR="00A54157" w:rsidRPr="004D75F3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3705C5" w:rsidRPr="004D75F3">
        <w:rPr>
          <w:sz w:val="28"/>
          <w:szCs w:val="28"/>
        </w:rPr>
        <w:t>Об утверждении Административного регламента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по предоставлению муниципальной услуги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«</w:t>
      </w:r>
      <w:r w:rsidR="00B5589B" w:rsidRPr="0051230D">
        <w:rPr>
          <w:bCs/>
          <w:color w:val="1D1B11"/>
          <w:sz w:val="28"/>
          <w:szCs w:val="28"/>
        </w:rPr>
        <w:t>Приватизация муниципального имущества Алеховщинского сельского поселения Лодейнопольского муниципального района Ленинградской области</w:t>
      </w:r>
      <w:r w:rsidR="00AA5750">
        <w:rPr>
          <w:sz w:val="28"/>
          <w:szCs w:val="28"/>
        </w:rPr>
        <w:t xml:space="preserve">» от </w:t>
      </w:r>
      <w:r w:rsidR="00B5589B" w:rsidRPr="00B5589B">
        <w:rPr>
          <w:sz w:val="28"/>
          <w:szCs w:val="28"/>
        </w:rPr>
        <w:t>22</w:t>
      </w:r>
      <w:r w:rsidR="00AA5750">
        <w:rPr>
          <w:sz w:val="28"/>
          <w:szCs w:val="28"/>
        </w:rPr>
        <w:t>.0</w:t>
      </w:r>
      <w:r w:rsidR="00B5589B" w:rsidRPr="00B5589B">
        <w:rPr>
          <w:sz w:val="28"/>
          <w:szCs w:val="28"/>
        </w:rPr>
        <w:t>5</w:t>
      </w:r>
      <w:r w:rsidR="00AA5750">
        <w:rPr>
          <w:sz w:val="28"/>
          <w:szCs w:val="28"/>
        </w:rPr>
        <w:t xml:space="preserve">.2015 г. № </w:t>
      </w:r>
      <w:r w:rsidR="00B5589B" w:rsidRPr="00BE4FD2">
        <w:rPr>
          <w:sz w:val="28"/>
          <w:szCs w:val="28"/>
        </w:rPr>
        <w:t>136</w:t>
      </w:r>
      <w:r w:rsidR="00AA5750">
        <w:rPr>
          <w:sz w:val="28"/>
          <w:szCs w:val="28"/>
        </w:rPr>
        <w:t xml:space="preserve"> </w:t>
      </w:r>
      <w:r w:rsidR="00FD371A" w:rsidRPr="004D75F3">
        <w:rPr>
          <w:sz w:val="28"/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 w:rsidR="00AA5750">
        <w:rPr>
          <w:b w:val="0"/>
          <w:sz w:val="28"/>
          <w:szCs w:val="28"/>
          <w:lang w:val="en-US"/>
        </w:rPr>
        <w:t>V</w:t>
      </w:r>
      <w:r w:rsidR="00AA5750" w:rsidRPr="00AA575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1D251D" w:rsidRDefault="00AA5750" w:rsidP="00BE4FD2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AA5750">
        <w:rPr>
          <w:b/>
          <w:szCs w:val="28"/>
        </w:rPr>
        <w:t>1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 xml:space="preserve">твия) органа, предоставляющего </w:t>
      </w:r>
      <w:r w:rsidR="00FD371A">
        <w:rPr>
          <w:szCs w:val="28"/>
        </w:rPr>
        <w:lastRenderedPageBreak/>
        <w:t>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lastRenderedPageBreak/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lastRenderedPageBreak/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525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251D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3D9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05C5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2D08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750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589B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4FD2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uiPriority w:val="99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2018-11-21T09:56:00Z</cp:lastPrinted>
  <dcterms:created xsi:type="dcterms:W3CDTF">2018-12-03T08:03:00Z</dcterms:created>
  <dcterms:modified xsi:type="dcterms:W3CDTF">2018-12-03T08:03:00Z</dcterms:modified>
</cp:coreProperties>
</file>