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EE4535" w:rsidRDefault="00BE7AFC" w:rsidP="00BE7AFC">
      <w:pPr>
        <w:jc w:val="left"/>
        <w:rPr>
          <w:b/>
          <w:szCs w:val="28"/>
          <w:lang w:val="en-US"/>
        </w:rPr>
      </w:pPr>
      <w:r w:rsidRPr="00753984">
        <w:rPr>
          <w:szCs w:val="28"/>
        </w:rPr>
        <w:t xml:space="preserve">от   </w:t>
      </w:r>
      <w:r w:rsidR="00FD371A">
        <w:rPr>
          <w:szCs w:val="28"/>
        </w:rPr>
        <w:t>21</w:t>
      </w:r>
      <w:r w:rsidRPr="00753984">
        <w:rPr>
          <w:szCs w:val="28"/>
        </w:rPr>
        <w:t>.</w:t>
      </w:r>
      <w:r w:rsidR="00017F5E">
        <w:rPr>
          <w:szCs w:val="28"/>
        </w:rPr>
        <w:t>11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EE4535" w:rsidRPr="00EE4535">
        <w:rPr>
          <w:b/>
          <w:szCs w:val="28"/>
        </w:rPr>
        <w:t>3</w:t>
      </w:r>
      <w:r w:rsidR="00EE4535">
        <w:rPr>
          <w:b/>
          <w:szCs w:val="28"/>
          <w:lang w:val="en-US"/>
        </w:rPr>
        <w:t>31</w:t>
      </w:r>
    </w:p>
    <w:p w:rsidR="004F55E2" w:rsidRPr="00753984" w:rsidRDefault="004F55E2" w:rsidP="00BE7AFC">
      <w:pPr>
        <w:jc w:val="left"/>
        <w:rPr>
          <w:b/>
          <w:szCs w:val="28"/>
        </w:rPr>
      </w:pP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4D75F3" w:rsidRPr="004D75F3">
        <w:rPr>
          <w:sz w:val="28"/>
          <w:szCs w:val="28"/>
        </w:rPr>
        <w:t xml:space="preserve">Об утверждении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 w:rsidRPr="004D75F3">
        <w:rPr>
          <w:sz w:val="28"/>
          <w:szCs w:val="28"/>
        </w:rPr>
        <w:t>по</w:t>
      </w:r>
      <w:proofErr w:type="gramEnd"/>
      <w:r w:rsidRPr="004D75F3">
        <w:rPr>
          <w:sz w:val="28"/>
          <w:szCs w:val="28"/>
        </w:rPr>
        <w:t xml:space="preserve">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предоставлению муниципальной услуги</w:t>
      </w:r>
    </w:p>
    <w:p w:rsidR="00FD371A" w:rsidRDefault="004D75F3" w:rsidP="00FD371A">
      <w:pPr>
        <w:pStyle w:val="p5"/>
        <w:tabs>
          <w:tab w:val="left" w:pos="7065"/>
        </w:tabs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«</w:t>
      </w:r>
      <w:r w:rsidR="00FD371A">
        <w:rPr>
          <w:sz w:val="28"/>
          <w:szCs w:val="28"/>
        </w:rPr>
        <w:t>Прием заявлений и выдача документов</w:t>
      </w:r>
    </w:p>
    <w:p w:rsidR="00FD371A" w:rsidRDefault="00FD371A" w:rsidP="00FD371A">
      <w:pPr>
        <w:pStyle w:val="p5"/>
        <w:tabs>
          <w:tab w:val="left" w:pos="7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 согласовании переустройства и (или)</w:t>
      </w:r>
    </w:p>
    <w:p w:rsidR="00FD371A" w:rsidRDefault="00FD371A" w:rsidP="00FD371A">
      <w:pPr>
        <w:pStyle w:val="p5"/>
        <w:tabs>
          <w:tab w:val="left" w:pos="7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перепланировки жилого помещения</w:t>
      </w:r>
      <w:r w:rsidR="004D75F3" w:rsidRPr="004D75F3">
        <w:rPr>
          <w:sz w:val="28"/>
          <w:szCs w:val="28"/>
        </w:rPr>
        <w:t>»</w:t>
      </w:r>
      <w:r w:rsidR="004D75F3">
        <w:rPr>
          <w:sz w:val="28"/>
          <w:szCs w:val="28"/>
        </w:rPr>
        <w:t xml:space="preserve"> </w:t>
      </w:r>
    </w:p>
    <w:p w:rsidR="00641A94" w:rsidRPr="004D75F3" w:rsidRDefault="00641A94" w:rsidP="00FD371A">
      <w:pPr>
        <w:pStyle w:val="p5"/>
        <w:tabs>
          <w:tab w:val="left" w:pos="7065"/>
        </w:tabs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D75F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FD371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FD37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№ </w:t>
      </w:r>
      <w:r w:rsidR="00FD371A">
        <w:rPr>
          <w:color w:val="000000"/>
          <w:sz w:val="28"/>
          <w:szCs w:val="28"/>
        </w:rPr>
        <w:t>399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FD371A" w:rsidRPr="004D75F3" w:rsidRDefault="0097047A" w:rsidP="00EE4535">
      <w:pPr>
        <w:pStyle w:val="a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rFonts w:ascii="Times New Roman" w:hAnsi="Times New Roman" w:cs="Times New Roman"/>
          <w:b w:val="0"/>
          <w:sz w:val="28"/>
          <w:szCs w:val="28"/>
        </w:rPr>
        <w:t>1.</w:t>
      </w:r>
      <w:r w:rsidR="00A54157" w:rsidRPr="004D75F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4D75F3" w:rsidRPr="004D75F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FD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5F3" w:rsidRPr="004D75F3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 w:rsidR="00FD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71A" w:rsidRPr="004D75F3">
        <w:rPr>
          <w:rFonts w:ascii="Times New Roman" w:hAnsi="Times New Roman" w:cs="Times New Roman"/>
          <w:b w:val="0"/>
          <w:sz w:val="28"/>
          <w:szCs w:val="28"/>
        </w:rPr>
        <w:t>«</w:t>
      </w:r>
      <w:r w:rsidR="00FD371A">
        <w:rPr>
          <w:rFonts w:ascii="Times New Roman" w:hAnsi="Times New Roman" w:cs="Times New Roman"/>
          <w:b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D371A" w:rsidRPr="004D75F3">
        <w:rPr>
          <w:rFonts w:ascii="Times New Roman" w:hAnsi="Times New Roman" w:cs="Times New Roman"/>
          <w:b w:val="0"/>
          <w:sz w:val="28"/>
          <w:szCs w:val="28"/>
        </w:rPr>
        <w:t>»</w:t>
      </w:r>
      <w:r w:rsidR="00FD371A" w:rsidRPr="00641A94">
        <w:rPr>
          <w:color w:val="000000"/>
          <w:sz w:val="28"/>
          <w:szCs w:val="28"/>
        </w:rPr>
        <w:t xml:space="preserve"> 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FD371A"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D371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FD371A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 w:rsidR="00FD37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399 </w:t>
      </w:r>
      <w:r w:rsidR="00FD371A" w:rsidRPr="004D75F3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4D75F3" w:rsidRPr="004D75F3" w:rsidRDefault="004D75F3" w:rsidP="004D75F3">
      <w:pPr>
        <w:pStyle w:val="a5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54157" w:rsidRDefault="00FD371A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6.</w:t>
      </w:r>
      <w:r w:rsidR="004D75F3">
        <w:rPr>
          <w:b w:val="0"/>
          <w:sz w:val="28"/>
          <w:szCs w:val="28"/>
        </w:rPr>
        <w:t xml:space="preserve"> изложить в следующей редакции</w:t>
      </w:r>
      <w:r w:rsidR="00F56302">
        <w:rPr>
          <w:b w:val="0"/>
          <w:sz w:val="28"/>
          <w:szCs w:val="28"/>
        </w:rPr>
        <w:t>:</w:t>
      </w:r>
    </w:p>
    <w:p w:rsidR="00FD371A" w:rsidRPr="00E33E27" w:rsidRDefault="00CF4CD9" w:rsidP="00FD371A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</w:p>
    <w:p w:rsidR="00FD371A" w:rsidRPr="00E33E27" w:rsidRDefault="00FD371A" w:rsidP="00FD371A">
      <w:pPr>
        <w:autoSpaceDN w:val="0"/>
        <w:jc w:val="center"/>
        <w:outlineLvl w:val="1"/>
        <w:rPr>
          <w:b/>
          <w:szCs w:val="28"/>
        </w:rPr>
      </w:pPr>
      <w:r w:rsidRPr="00E33E27">
        <w:rPr>
          <w:b/>
          <w:szCs w:val="28"/>
        </w:rPr>
        <w:t xml:space="preserve">а также должностных лиц органа, предоставляющего </w:t>
      </w:r>
      <w:r>
        <w:rPr>
          <w:b/>
          <w:szCs w:val="28"/>
        </w:rPr>
        <w:t>муниципальную</w:t>
      </w:r>
      <w:r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FD371A" w:rsidP="00FD371A">
      <w:pPr>
        <w:autoSpaceDN w:val="0"/>
        <w:rPr>
          <w:szCs w:val="28"/>
        </w:rPr>
      </w:pPr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 xml:space="preserve">твия) органа, предоставляющего </w:t>
      </w:r>
      <w:r w:rsidR="00FD371A">
        <w:rPr>
          <w:szCs w:val="28"/>
        </w:rPr>
        <w:lastRenderedPageBreak/>
        <w:t>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муниципальную</w:t>
      </w:r>
      <w:r w:rsidR="00FD371A" w:rsidRPr="00E33E27">
        <w:rPr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lastRenderedPageBreak/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lastRenderedPageBreak/>
        <w:t>6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8EC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1D00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55B41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4535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2018-11-21T09:43:00Z</cp:lastPrinted>
  <dcterms:created xsi:type="dcterms:W3CDTF">2018-12-03T08:01:00Z</dcterms:created>
  <dcterms:modified xsi:type="dcterms:W3CDTF">2018-12-03T08:01:00Z</dcterms:modified>
</cp:coreProperties>
</file>